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580" w:lineRule="exact"/>
        <w:jc w:val="center"/>
        <w:textAlignment w:val="auto"/>
        <w:rPr>
          <w:rFonts w:hint="eastAsia" w:ascii="方正小标宋简体" w:hAnsi="方正小标宋简体" w:eastAsia="方正小标宋简体" w:cs="方正小标宋简体"/>
          <w:b w:val="0"/>
          <w:bCs w:val="0"/>
          <w:kern w:val="0"/>
          <w:sz w:val="44"/>
          <w:szCs w:val="44"/>
          <w:lang w:val="zh-CN"/>
        </w:rPr>
      </w:pPr>
    </w:p>
    <w:p>
      <w:pPr>
        <w:keepNext w:val="0"/>
        <w:keepLines w:val="0"/>
        <w:pageBreakBefore w:val="0"/>
        <w:widowControl w:val="0"/>
        <w:kinsoku/>
        <w:wordWrap/>
        <w:overflowPunct/>
        <w:topLinePunct w:val="0"/>
        <w:autoSpaceDE w:val="0"/>
        <w:autoSpaceDN w:val="0"/>
        <w:bidi w:val="0"/>
        <w:adjustRightInd w:val="0"/>
        <w:snapToGrid/>
        <w:spacing w:line="580" w:lineRule="exact"/>
        <w:jc w:val="center"/>
        <w:textAlignment w:val="auto"/>
        <w:rPr>
          <w:rFonts w:hint="eastAsia" w:ascii="方正大标宋简体" w:hAnsi="方正大标宋简体" w:eastAsia="方正大标宋简体" w:cs="方正大标宋简体"/>
          <w:b w:val="0"/>
          <w:bCs w:val="0"/>
          <w:kern w:val="0"/>
          <w:sz w:val="44"/>
          <w:szCs w:val="44"/>
          <w:lang w:val="zh-CN"/>
        </w:rPr>
      </w:pPr>
      <w:r>
        <w:rPr>
          <w:rFonts w:hint="eastAsia" w:ascii="方正大标宋简体" w:hAnsi="方正大标宋简体" w:eastAsia="方正大标宋简体" w:cs="方正大标宋简体"/>
          <w:b w:val="0"/>
          <w:bCs w:val="0"/>
          <w:kern w:val="0"/>
          <w:sz w:val="44"/>
          <w:szCs w:val="44"/>
          <w:lang w:val="zh-CN"/>
        </w:rPr>
        <w:t>关于阿尔山市20</w:t>
      </w:r>
      <w:r>
        <w:rPr>
          <w:rFonts w:hint="eastAsia" w:ascii="方正大标宋简体" w:hAnsi="方正大标宋简体" w:eastAsia="方正大标宋简体" w:cs="方正大标宋简体"/>
          <w:b w:val="0"/>
          <w:bCs w:val="0"/>
          <w:kern w:val="0"/>
          <w:sz w:val="44"/>
          <w:szCs w:val="44"/>
          <w:lang w:val="en-US" w:eastAsia="zh-CN"/>
        </w:rPr>
        <w:t>22</w:t>
      </w:r>
      <w:r>
        <w:rPr>
          <w:rFonts w:hint="eastAsia" w:ascii="方正大标宋简体" w:hAnsi="方正大标宋简体" w:eastAsia="方正大标宋简体" w:cs="方正大标宋简体"/>
          <w:b w:val="0"/>
          <w:bCs w:val="0"/>
          <w:kern w:val="0"/>
          <w:sz w:val="44"/>
          <w:szCs w:val="44"/>
          <w:lang w:val="zh-CN"/>
        </w:rPr>
        <w:t>年国民经济和社会发展计划执行情况与20</w:t>
      </w:r>
      <w:r>
        <w:rPr>
          <w:rFonts w:hint="eastAsia" w:ascii="方正大标宋简体" w:hAnsi="方正大标宋简体" w:eastAsia="方正大标宋简体" w:cs="方正大标宋简体"/>
          <w:b w:val="0"/>
          <w:bCs w:val="0"/>
          <w:kern w:val="0"/>
          <w:sz w:val="44"/>
          <w:szCs w:val="44"/>
          <w:lang w:val="en-US" w:eastAsia="zh-CN"/>
        </w:rPr>
        <w:t>23</w:t>
      </w:r>
      <w:r>
        <w:rPr>
          <w:rFonts w:hint="eastAsia" w:ascii="方正大标宋简体" w:hAnsi="方正大标宋简体" w:eastAsia="方正大标宋简体" w:cs="方正大标宋简体"/>
          <w:b w:val="0"/>
          <w:bCs w:val="0"/>
          <w:kern w:val="0"/>
          <w:sz w:val="44"/>
          <w:szCs w:val="44"/>
          <w:lang w:val="zh-CN"/>
        </w:rPr>
        <w:t>年国民经济和社会发展计划（草案）的报告</w:t>
      </w:r>
    </w:p>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黑体" w:hAnsi="黑体" w:eastAsia="黑体" w:cs="黑体"/>
          <w:spacing w:val="-8"/>
          <w:kern w:val="0"/>
          <w:sz w:val="30"/>
          <w:szCs w:val="30"/>
          <w:lang w:val="zh-CN"/>
        </w:rPr>
      </w:pPr>
    </w:p>
    <w:p>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楷体_GB2312" w:hAnsi="楷体_GB2312" w:eastAsia="楷体_GB2312" w:cs="楷体_GB2312"/>
          <w:b/>
          <w:bCs/>
          <w:i w:val="0"/>
          <w:iCs w:val="0"/>
          <w:caps w:val="0"/>
          <w:color w:val="000000" w:themeColor="text1"/>
          <w:spacing w:val="-17"/>
          <w:kern w:val="0"/>
          <w:sz w:val="32"/>
          <w:szCs w:val="32"/>
          <w:shd w:val="clear" w:fill="FFFFFF"/>
          <w:lang w:val="zh-CN" w:eastAsia="zh-CN" w:bidi="ar"/>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17"/>
          <w:kern w:val="0"/>
          <w:sz w:val="32"/>
          <w:szCs w:val="32"/>
          <w:shd w:val="clear" w:fill="FFFFFF"/>
          <w:lang w:val="en-US" w:eastAsia="zh-CN" w:bidi="ar"/>
          <w14:textFill>
            <w14:solidFill>
              <w14:schemeClr w14:val="tx1"/>
            </w14:solidFill>
          </w14:textFill>
        </w:rPr>
        <w:t>——2023</w:t>
      </w:r>
      <w:r>
        <w:rPr>
          <w:rFonts w:hint="eastAsia" w:ascii="楷体_GB2312" w:hAnsi="楷体_GB2312" w:eastAsia="楷体_GB2312" w:cs="楷体_GB2312"/>
          <w:b/>
          <w:bCs/>
          <w:i w:val="0"/>
          <w:iCs w:val="0"/>
          <w:caps w:val="0"/>
          <w:color w:val="000000" w:themeColor="text1"/>
          <w:spacing w:val="-17"/>
          <w:kern w:val="0"/>
          <w:sz w:val="32"/>
          <w:szCs w:val="32"/>
          <w:shd w:val="clear" w:fill="FFFFFF"/>
          <w:lang w:val="zh-CN" w:eastAsia="zh-CN" w:bidi="ar"/>
          <w14:textFill>
            <w14:solidFill>
              <w14:schemeClr w14:val="tx1"/>
            </w14:solidFill>
          </w14:textFill>
        </w:rPr>
        <w:t>年</w:t>
      </w:r>
      <w:r>
        <w:rPr>
          <w:rFonts w:hint="eastAsia" w:ascii="楷体_GB2312" w:hAnsi="楷体_GB2312" w:eastAsia="楷体_GB2312" w:cs="楷体_GB2312"/>
          <w:b/>
          <w:bCs/>
          <w:i w:val="0"/>
          <w:iCs w:val="0"/>
          <w:caps w:val="0"/>
          <w:color w:val="000000" w:themeColor="text1"/>
          <w:spacing w:val="-17"/>
          <w:kern w:val="0"/>
          <w:sz w:val="32"/>
          <w:szCs w:val="32"/>
          <w:shd w:val="clear" w:fill="FFFFFF"/>
          <w:lang w:val="en-US" w:eastAsia="zh-CN" w:bidi="ar"/>
          <w14:textFill>
            <w14:solidFill>
              <w14:schemeClr w14:val="tx1"/>
            </w14:solidFill>
          </w14:textFill>
        </w:rPr>
        <w:t>1</w:t>
      </w:r>
      <w:r>
        <w:rPr>
          <w:rFonts w:hint="eastAsia" w:ascii="楷体_GB2312" w:hAnsi="楷体_GB2312" w:eastAsia="楷体_GB2312" w:cs="楷体_GB2312"/>
          <w:b/>
          <w:bCs/>
          <w:i w:val="0"/>
          <w:iCs w:val="0"/>
          <w:caps w:val="0"/>
          <w:color w:val="000000" w:themeColor="text1"/>
          <w:spacing w:val="-17"/>
          <w:kern w:val="0"/>
          <w:sz w:val="32"/>
          <w:szCs w:val="32"/>
          <w:shd w:val="clear" w:fill="FFFFFF"/>
          <w:lang w:val="zh-CN" w:eastAsia="zh-CN" w:bidi="ar"/>
          <w14:textFill>
            <w14:solidFill>
              <w14:schemeClr w14:val="tx1"/>
            </w14:solidFill>
          </w14:textFill>
        </w:rPr>
        <w:t>月</w:t>
      </w:r>
      <w:r>
        <w:rPr>
          <w:rFonts w:hint="eastAsia" w:ascii="楷体_GB2312" w:hAnsi="楷体_GB2312" w:eastAsia="楷体_GB2312" w:cs="楷体_GB2312"/>
          <w:b/>
          <w:bCs/>
          <w:i w:val="0"/>
          <w:iCs w:val="0"/>
          <w:caps w:val="0"/>
          <w:color w:val="000000" w:themeColor="text1"/>
          <w:spacing w:val="-17"/>
          <w:kern w:val="0"/>
          <w:sz w:val="32"/>
          <w:szCs w:val="32"/>
          <w:shd w:val="clear" w:fill="FFFFFF"/>
          <w:lang w:val="en-US" w:eastAsia="zh-CN" w:bidi="ar"/>
          <w14:textFill>
            <w14:solidFill>
              <w14:schemeClr w14:val="tx1"/>
            </w14:solidFill>
          </w14:textFill>
        </w:rPr>
        <w:t>1</w:t>
      </w:r>
      <w:r>
        <w:rPr>
          <w:rFonts w:hint="eastAsia" w:ascii="楷体_GB2312" w:hAnsi="楷体_GB2312" w:eastAsia="楷体_GB2312" w:cs="楷体_GB2312"/>
          <w:b/>
          <w:bCs/>
          <w:i w:val="0"/>
          <w:iCs w:val="0"/>
          <w:caps w:val="0"/>
          <w:color w:val="000000" w:themeColor="text1"/>
          <w:spacing w:val="-17"/>
          <w:kern w:val="0"/>
          <w:sz w:val="32"/>
          <w:szCs w:val="32"/>
          <w:shd w:val="clear" w:fill="FFFFFF"/>
          <w:lang w:val="zh-CN" w:eastAsia="zh-CN" w:bidi="ar"/>
          <w14:textFill>
            <w14:solidFill>
              <w14:schemeClr w14:val="tx1"/>
            </w14:solidFill>
          </w14:textFill>
        </w:rPr>
        <w:t>日在阿尔山市第</w:t>
      </w:r>
      <w:r>
        <w:rPr>
          <w:rFonts w:hint="eastAsia" w:ascii="楷体_GB2312" w:hAnsi="楷体_GB2312" w:eastAsia="楷体_GB2312" w:cs="楷体_GB2312"/>
          <w:b/>
          <w:bCs/>
          <w:i w:val="0"/>
          <w:iCs w:val="0"/>
          <w:caps w:val="0"/>
          <w:color w:val="000000" w:themeColor="text1"/>
          <w:spacing w:val="-17"/>
          <w:kern w:val="0"/>
          <w:sz w:val="32"/>
          <w:szCs w:val="32"/>
          <w:shd w:val="clear" w:fill="FFFFFF"/>
          <w:lang w:val="en-US" w:eastAsia="zh-CN" w:bidi="ar"/>
          <w14:textFill>
            <w14:solidFill>
              <w14:schemeClr w14:val="tx1"/>
            </w14:solidFill>
          </w14:textFill>
        </w:rPr>
        <w:t>七</w:t>
      </w:r>
      <w:r>
        <w:rPr>
          <w:rFonts w:hint="eastAsia" w:ascii="楷体_GB2312" w:hAnsi="楷体_GB2312" w:eastAsia="楷体_GB2312" w:cs="楷体_GB2312"/>
          <w:b/>
          <w:bCs/>
          <w:i w:val="0"/>
          <w:iCs w:val="0"/>
          <w:caps w:val="0"/>
          <w:color w:val="000000" w:themeColor="text1"/>
          <w:spacing w:val="-17"/>
          <w:kern w:val="0"/>
          <w:sz w:val="32"/>
          <w:szCs w:val="32"/>
          <w:shd w:val="clear" w:fill="FFFFFF"/>
          <w:lang w:val="zh-CN" w:eastAsia="zh-CN" w:bidi="ar"/>
          <w14:textFill>
            <w14:solidFill>
              <w14:schemeClr w14:val="tx1"/>
            </w14:solidFill>
          </w14:textFill>
        </w:rPr>
        <w:t>届人民代表大会第</w:t>
      </w:r>
      <w:r>
        <w:rPr>
          <w:rFonts w:hint="eastAsia" w:ascii="楷体_GB2312" w:hAnsi="楷体_GB2312" w:eastAsia="楷体_GB2312" w:cs="楷体_GB2312"/>
          <w:b/>
          <w:bCs/>
          <w:i w:val="0"/>
          <w:iCs w:val="0"/>
          <w:caps w:val="0"/>
          <w:color w:val="000000" w:themeColor="text1"/>
          <w:spacing w:val="-17"/>
          <w:kern w:val="0"/>
          <w:sz w:val="32"/>
          <w:szCs w:val="32"/>
          <w:shd w:val="clear" w:fill="FFFFFF"/>
          <w:lang w:val="en-US" w:eastAsia="zh-CN" w:bidi="ar"/>
          <w14:textFill>
            <w14:solidFill>
              <w14:schemeClr w14:val="tx1"/>
            </w14:solidFill>
          </w14:textFill>
        </w:rPr>
        <w:t>二</w:t>
      </w:r>
      <w:r>
        <w:rPr>
          <w:rFonts w:hint="eastAsia" w:ascii="楷体_GB2312" w:hAnsi="楷体_GB2312" w:eastAsia="楷体_GB2312" w:cs="楷体_GB2312"/>
          <w:b/>
          <w:bCs/>
          <w:i w:val="0"/>
          <w:iCs w:val="0"/>
          <w:caps w:val="0"/>
          <w:color w:val="000000" w:themeColor="text1"/>
          <w:spacing w:val="-17"/>
          <w:kern w:val="0"/>
          <w:sz w:val="32"/>
          <w:szCs w:val="32"/>
          <w:shd w:val="clear" w:fill="FFFFFF"/>
          <w:lang w:val="zh-CN" w:eastAsia="zh-CN" w:bidi="ar"/>
          <w14:textFill>
            <w14:solidFill>
              <w14:schemeClr w14:val="tx1"/>
            </w14:solidFill>
          </w14:textFill>
        </w:rPr>
        <w:t>次会议上</w:t>
      </w:r>
    </w:p>
    <w:p>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default" w:ascii="楷体_GB2312" w:eastAsia="楷体_GB2312" w:cs="楷体_GB2312"/>
          <w:b/>
          <w:bCs/>
          <w:spacing w:val="-8"/>
          <w:kern w:val="0"/>
          <w:sz w:val="36"/>
          <w:szCs w:val="36"/>
          <w:lang w:val="en-US" w:eastAsia="zh-CN"/>
        </w:rPr>
      </w:pPr>
      <w:r>
        <w:rPr>
          <w:rFonts w:hint="eastAsia" w:ascii="楷体_GB2312" w:hAnsi="楷体_GB2312" w:eastAsia="楷体_GB2312" w:cs="楷体_GB2312"/>
          <w:b/>
          <w:bCs/>
          <w:i w:val="0"/>
          <w:iCs w:val="0"/>
          <w:caps w:val="0"/>
          <w:color w:val="000000" w:themeColor="text1"/>
          <w:spacing w:val="-17"/>
          <w:kern w:val="0"/>
          <w:sz w:val="32"/>
          <w:szCs w:val="32"/>
          <w:shd w:val="clear" w:fill="FFFFFF"/>
          <w:lang w:val="zh-CN" w:eastAsia="zh-CN" w:bidi="ar"/>
          <w14:textFill>
            <w14:solidFill>
              <w14:schemeClr w14:val="tx1"/>
            </w14:solidFill>
          </w14:textFill>
        </w:rPr>
        <w:t>阿尔山市发展和改革委员会</w:t>
      </w:r>
      <w:r>
        <w:rPr>
          <w:rFonts w:hint="eastAsia" w:ascii="楷体_GB2312" w:hAnsi="楷体_GB2312" w:eastAsia="楷体_GB2312" w:cs="楷体_GB2312"/>
          <w:b/>
          <w:bCs/>
          <w:i w:val="0"/>
          <w:iCs w:val="0"/>
          <w:caps w:val="0"/>
          <w:color w:val="000000" w:themeColor="text1"/>
          <w:spacing w:val="-17"/>
          <w:kern w:val="0"/>
          <w:sz w:val="32"/>
          <w:szCs w:val="32"/>
          <w:shd w:val="clear" w:fill="FFFFFF"/>
          <w:lang w:val="en-US" w:eastAsia="zh-CN" w:bidi="ar"/>
          <w14:textFill>
            <w14:solidFill>
              <w14:schemeClr w14:val="tx1"/>
            </w14:solidFill>
          </w14:textFill>
        </w:rPr>
        <w:t>主任</w:t>
      </w:r>
      <w:r>
        <w:rPr>
          <w:rFonts w:hint="eastAsia" w:ascii="楷体_GB2312" w:hAnsi="楷体_GB2312" w:eastAsia="楷体_GB2312" w:cs="楷体_GB2312"/>
          <w:b/>
          <w:bCs/>
          <w:i w:val="0"/>
          <w:iCs w:val="0"/>
          <w:caps w:val="0"/>
          <w:color w:val="000000" w:themeColor="text1"/>
          <w:spacing w:val="-17"/>
          <w:kern w:val="0"/>
          <w:sz w:val="32"/>
          <w:szCs w:val="32"/>
          <w:shd w:val="clear" w:fill="FFFFFF"/>
          <w:lang w:val="zh-CN" w:eastAsia="zh-CN" w:bidi="ar"/>
          <w14:textFill>
            <w14:solidFill>
              <w14:schemeClr w14:val="tx1"/>
            </w14:solidFill>
          </w14:textFill>
        </w:rPr>
        <w:t xml:space="preserve">  </w:t>
      </w:r>
      <w:r>
        <w:rPr>
          <w:rFonts w:hint="eastAsia" w:ascii="楷体_GB2312" w:hAnsi="楷体_GB2312" w:eastAsia="楷体_GB2312" w:cs="楷体_GB2312"/>
          <w:b/>
          <w:bCs/>
          <w:i w:val="0"/>
          <w:iCs w:val="0"/>
          <w:caps w:val="0"/>
          <w:color w:val="000000" w:themeColor="text1"/>
          <w:spacing w:val="-17"/>
          <w:kern w:val="0"/>
          <w:sz w:val="32"/>
          <w:szCs w:val="32"/>
          <w:shd w:val="clear" w:fill="FFFFFF"/>
          <w:lang w:val="en-US" w:eastAsia="zh-CN" w:bidi="ar"/>
          <w14:textFill>
            <w14:solidFill>
              <w14:schemeClr w14:val="tx1"/>
            </w14:solidFill>
          </w14:textFill>
        </w:rPr>
        <w:t>敖凤斌</w:t>
      </w:r>
    </w:p>
    <w:p>
      <w:pPr>
        <w:keepNext w:val="0"/>
        <w:keepLines w:val="0"/>
        <w:pageBreakBefore w:val="0"/>
        <w:kinsoku/>
        <w:wordWrap/>
        <w:overflowPunct/>
        <w:topLinePunct w:val="0"/>
        <w:autoSpaceDE w:val="0"/>
        <w:autoSpaceDN w:val="0"/>
        <w:bidi w:val="0"/>
        <w:adjustRightInd w:val="0"/>
        <w:spacing w:line="360" w:lineRule="auto"/>
        <w:ind w:firstLine="641"/>
        <w:jc w:val="center"/>
        <w:textAlignment w:val="auto"/>
        <w:rPr>
          <w:rFonts w:hint="eastAsia" w:ascii="仿宋_GB2312" w:hAnsi="Arial" w:eastAsia="仿宋_GB2312" w:cs="仿宋_GB2312"/>
          <w:sz w:val="32"/>
          <w:szCs w:val="32"/>
          <w:lang w:val="zh-CN"/>
        </w:rPr>
      </w:pPr>
    </w:p>
    <w:p>
      <w:pPr>
        <w:keepNext w:val="0"/>
        <w:keepLines w:val="0"/>
        <w:pageBreakBefore w:val="0"/>
        <w:kinsoku/>
        <w:wordWrap/>
        <w:overflowPunct/>
        <w:topLinePunct w:val="0"/>
        <w:bidi w:val="0"/>
        <w:snapToGrid/>
        <w:spacing w:line="560" w:lineRule="exact"/>
        <w:jc w:val="both"/>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各位代表：</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我受市政府委托，向大会报告阿尔山市20</w:t>
      </w:r>
      <w:r>
        <w:rPr>
          <w:rFonts w:hint="eastAsia" w:ascii="仿宋_GB2312" w:hAnsi="Times New Roman" w:eastAsia="仿宋_GB2312" w:cs="Times New Roman"/>
          <w:sz w:val="32"/>
          <w:szCs w:val="32"/>
          <w:lang w:val="en-US" w:eastAsia="zh-CN"/>
        </w:rPr>
        <w:t>2</w:t>
      </w:r>
      <w:r>
        <w:rPr>
          <w:rFonts w:hint="eastAsia" w:ascii="仿宋_GB2312" w:cs="Times New Roman"/>
          <w:sz w:val="32"/>
          <w:szCs w:val="32"/>
          <w:lang w:val="en-US" w:eastAsia="zh-CN"/>
        </w:rPr>
        <w:t>2</w:t>
      </w:r>
      <w:r>
        <w:rPr>
          <w:rFonts w:hint="eastAsia" w:ascii="仿宋_GB2312" w:hAnsi="Times New Roman" w:eastAsia="仿宋_GB2312" w:cs="Times New Roman"/>
          <w:sz w:val="32"/>
          <w:szCs w:val="32"/>
          <w:lang w:val="zh-CN" w:eastAsia="zh-CN"/>
        </w:rPr>
        <w:t>年国民经济和社会发展计划执行情况与20</w:t>
      </w:r>
      <w:r>
        <w:rPr>
          <w:rFonts w:hint="eastAsia" w:ascii="仿宋_GB2312" w:hAnsi="Times New Roman" w:eastAsia="仿宋_GB2312" w:cs="Times New Roman"/>
          <w:sz w:val="32"/>
          <w:szCs w:val="32"/>
          <w:lang w:val="en-US" w:eastAsia="zh-CN"/>
        </w:rPr>
        <w:t>2</w:t>
      </w:r>
      <w:r>
        <w:rPr>
          <w:rFonts w:hint="eastAsia" w:ascii="仿宋_GB2312" w:cs="Times New Roman"/>
          <w:sz w:val="32"/>
          <w:szCs w:val="32"/>
          <w:lang w:val="en-US" w:eastAsia="zh-CN"/>
        </w:rPr>
        <w:t>3</w:t>
      </w:r>
      <w:r>
        <w:rPr>
          <w:rFonts w:hint="eastAsia" w:ascii="仿宋_GB2312" w:hAnsi="Times New Roman" w:eastAsia="仿宋_GB2312" w:cs="Times New Roman"/>
          <w:sz w:val="32"/>
          <w:szCs w:val="32"/>
          <w:lang w:val="zh-CN" w:eastAsia="zh-CN"/>
        </w:rPr>
        <w:t>年国民经济和社会发展计划</w:t>
      </w:r>
      <w:r>
        <w:rPr>
          <w:rFonts w:hint="eastAsia" w:ascii="仿宋_GB2312" w:cs="Times New Roman"/>
          <w:sz w:val="32"/>
          <w:szCs w:val="32"/>
          <w:lang w:val="zh-CN" w:eastAsia="zh-CN"/>
        </w:rPr>
        <w:t>（</w:t>
      </w:r>
      <w:r>
        <w:rPr>
          <w:rFonts w:hint="eastAsia" w:ascii="仿宋_GB2312" w:hAnsi="Times New Roman" w:eastAsia="仿宋_GB2312" w:cs="Times New Roman"/>
          <w:sz w:val="32"/>
          <w:szCs w:val="32"/>
          <w:lang w:val="zh-CN" w:eastAsia="zh-CN"/>
        </w:rPr>
        <w:t>草案</w:t>
      </w:r>
      <w:r>
        <w:rPr>
          <w:rFonts w:hint="eastAsia" w:ascii="仿宋_GB2312" w:cs="Times New Roman"/>
          <w:sz w:val="32"/>
          <w:szCs w:val="32"/>
          <w:lang w:val="zh-CN" w:eastAsia="zh-CN"/>
        </w:rPr>
        <w:t>）</w:t>
      </w:r>
      <w:r>
        <w:rPr>
          <w:rFonts w:hint="eastAsia" w:ascii="仿宋_GB2312" w:hAnsi="Times New Roman" w:eastAsia="仿宋_GB2312" w:cs="Times New Roman"/>
          <w:sz w:val="32"/>
          <w:szCs w:val="32"/>
          <w:lang w:val="zh-CN" w:eastAsia="zh-CN"/>
        </w:rPr>
        <w:t>，请予审议，并请人大代表、政协委员和列席会议的同志提出意见。</w:t>
      </w:r>
    </w:p>
    <w:p>
      <w:pPr>
        <w:keepNext w:val="0"/>
        <w:keepLines w:val="0"/>
        <w:pageBreakBefore w:val="0"/>
        <w:numPr>
          <w:ilvl w:val="0"/>
          <w:numId w:val="1"/>
        </w:numPr>
        <w:kinsoku/>
        <w:wordWrap/>
        <w:overflowPunct/>
        <w:topLinePunct w:val="0"/>
        <w:autoSpaceDE w:val="0"/>
        <w:autoSpaceDN w:val="0"/>
        <w:bidi w:val="0"/>
        <w:adjustRightInd w:val="0"/>
        <w:snapToGrid/>
        <w:spacing w:line="560" w:lineRule="exact"/>
        <w:ind w:left="0" w:leftChars="0" w:firstLine="566" w:firstLineChars="177"/>
        <w:jc w:val="both"/>
        <w:textAlignment w:val="auto"/>
        <w:outlineLvl w:val="1"/>
        <w:rPr>
          <w:rFonts w:hint="eastAsia" w:ascii="黑体" w:hAnsi="Arial" w:eastAsia="黑体" w:cs="黑体"/>
          <w:b w:val="0"/>
          <w:bCs/>
          <w:kern w:val="0"/>
          <w:sz w:val="32"/>
          <w:szCs w:val="32"/>
          <w:lang w:val="zh-CN"/>
        </w:rPr>
      </w:pPr>
      <w:r>
        <w:rPr>
          <w:rFonts w:hint="eastAsia" w:ascii="黑体" w:hAnsi="Arial" w:eastAsia="黑体" w:cs="黑体"/>
          <w:b w:val="0"/>
          <w:bCs/>
          <w:kern w:val="0"/>
          <w:sz w:val="32"/>
          <w:szCs w:val="32"/>
          <w:lang w:val="zh-CN"/>
        </w:rPr>
        <w:t>20</w:t>
      </w:r>
      <w:r>
        <w:rPr>
          <w:rFonts w:hint="eastAsia" w:ascii="黑体" w:hAnsi="Arial" w:eastAsia="黑体" w:cs="黑体"/>
          <w:b w:val="0"/>
          <w:bCs/>
          <w:kern w:val="0"/>
          <w:sz w:val="32"/>
          <w:szCs w:val="32"/>
          <w:lang w:val="en-US" w:eastAsia="zh-CN"/>
        </w:rPr>
        <w:t>22</w:t>
      </w:r>
      <w:r>
        <w:rPr>
          <w:rFonts w:hint="eastAsia" w:ascii="黑体" w:hAnsi="Arial" w:eastAsia="黑体" w:cs="黑体"/>
          <w:b w:val="0"/>
          <w:bCs/>
          <w:kern w:val="0"/>
          <w:sz w:val="32"/>
          <w:szCs w:val="32"/>
          <w:lang w:val="zh-CN"/>
        </w:rPr>
        <w:t>年国民经济和社会发展计划执行情况</w:t>
      </w:r>
    </w:p>
    <w:p>
      <w:pPr>
        <w:keepNext w:val="0"/>
        <w:keepLines w:val="0"/>
        <w:pageBreakBefore w:val="0"/>
        <w:widowControl/>
        <w:suppressLineNumbers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Times New Roman" w:eastAsia="仿宋_GB2312" w:cs="Times New Roman"/>
          <w:sz w:val="32"/>
          <w:szCs w:val="32"/>
          <w:lang w:val="en-US" w:eastAsia="zh-CN"/>
        </w:rPr>
        <w:t>2022</w:t>
      </w:r>
      <w:r>
        <w:rPr>
          <w:rFonts w:hint="eastAsia" w:cs="仿宋"/>
          <w:color w:val="auto"/>
          <w:kern w:val="0"/>
          <w:sz w:val="32"/>
          <w:szCs w:val="32"/>
          <w:highlight w:val="none"/>
          <w:lang w:val="en-US" w:eastAsia="zh-CN"/>
        </w:rPr>
        <w:t>年以来我市</w:t>
      </w:r>
      <w:r>
        <w:rPr>
          <w:rFonts w:hint="eastAsia" w:cs="仿宋"/>
          <w:color w:val="auto"/>
          <w:kern w:val="0"/>
          <w:sz w:val="32"/>
          <w:szCs w:val="32"/>
          <w:highlight w:val="none"/>
          <w:lang w:val="zh-CN" w:eastAsia="zh-CN"/>
        </w:rPr>
        <w:t>认真践行新发展理念，按照</w:t>
      </w:r>
      <w:r>
        <w:rPr>
          <w:rFonts w:hint="eastAsia" w:cs="仿宋"/>
          <w:color w:val="auto"/>
          <w:kern w:val="0"/>
          <w:sz w:val="32"/>
          <w:szCs w:val="32"/>
          <w:highlight w:val="none"/>
          <w:lang w:val="en-US" w:eastAsia="zh-CN"/>
        </w:rPr>
        <w:t>稳字当头、</w:t>
      </w:r>
      <w:r>
        <w:rPr>
          <w:rFonts w:hint="eastAsia" w:cs="仿宋"/>
          <w:color w:val="auto"/>
          <w:kern w:val="0"/>
          <w:sz w:val="32"/>
          <w:szCs w:val="32"/>
          <w:highlight w:val="none"/>
          <w:lang w:val="zh-CN" w:eastAsia="zh-CN"/>
        </w:rPr>
        <w:t>稳中求进</w:t>
      </w:r>
      <w:r>
        <w:rPr>
          <w:rFonts w:hint="eastAsia" w:cs="仿宋"/>
          <w:color w:val="auto"/>
          <w:kern w:val="0"/>
          <w:sz w:val="32"/>
          <w:szCs w:val="32"/>
          <w:highlight w:val="none"/>
          <w:lang w:val="en-US" w:eastAsia="zh-CN"/>
        </w:rPr>
        <w:t>工作总基调</w:t>
      </w:r>
      <w:r>
        <w:rPr>
          <w:rFonts w:hint="eastAsia" w:cs="仿宋"/>
          <w:color w:val="auto"/>
          <w:kern w:val="0"/>
          <w:sz w:val="32"/>
          <w:szCs w:val="32"/>
          <w:highlight w:val="none"/>
          <w:lang w:val="zh-CN" w:eastAsia="zh-CN"/>
        </w:rPr>
        <w:t>，</w:t>
      </w:r>
      <w:r>
        <w:rPr>
          <w:rFonts w:hint="eastAsia" w:cs="仿宋"/>
          <w:color w:val="auto"/>
          <w:kern w:val="0"/>
          <w:sz w:val="32"/>
          <w:szCs w:val="32"/>
          <w:highlight w:val="none"/>
          <w:lang w:val="en-US" w:eastAsia="zh-CN"/>
        </w:rPr>
        <w:t>全市国民经济顶住</w:t>
      </w:r>
      <w:r>
        <w:rPr>
          <w:rFonts w:hint="eastAsia" w:cs="仿宋"/>
          <w:color w:val="000000"/>
          <w:kern w:val="0"/>
          <w:sz w:val="32"/>
          <w:szCs w:val="32"/>
          <w:highlight w:val="none"/>
          <w:lang w:val="en-US" w:eastAsia="zh-CN"/>
        </w:rPr>
        <w:t>国际环境复杂严峻、国内新冠肺炎疫情冲击等</w:t>
      </w:r>
      <w:r>
        <w:rPr>
          <w:rFonts w:hint="eastAsia" w:cs="仿宋"/>
          <w:color w:val="auto"/>
          <w:kern w:val="0"/>
          <w:sz w:val="32"/>
          <w:szCs w:val="32"/>
          <w:highlight w:val="none"/>
          <w:lang w:val="en-US" w:eastAsia="zh-CN"/>
        </w:rPr>
        <w:t>多种超预期因素影响，延续恢复发展态势，生产需求持续恢复，就业物价保持稳定，民生保障有力有效，发展韧性继续彰显，经济社会大局总体稳定。党的二十大胜利召开，更是极大的激发了全行业发展干劲，增强了发展信心。</w:t>
      </w:r>
    </w:p>
    <w:p>
      <w:pPr>
        <w:keepNext w:val="0"/>
        <w:keepLines w:val="0"/>
        <w:pageBreakBefore w:val="0"/>
        <w:kinsoku/>
        <w:wordWrap/>
        <w:overflowPunct/>
        <w:topLinePunct w:val="0"/>
        <w:autoSpaceDE w:val="0"/>
        <w:autoSpaceDN w:val="0"/>
        <w:bidi w:val="0"/>
        <w:adjustRightInd w:val="0"/>
        <w:snapToGrid/>
        <w:spacing w:line="560" w:lineRule="exact"/>
        <w:ind w:firstLine="641"/>
        <w:jc w:val="both"/>
        <w:textAlignment w:val="auto"/>
        <w:outlineLvl w:val="1"/>
        <w:rPr>
          <w:rFonts w:hint="eastAsia" w:ascii="楷体_GB2312" w:hAnsi="Arial" w:eastAsia="楷体_GB2312" w:cs="仿宋_GB2312"/>
          <w:b/>
          <w:bCs/>
          <w:spacing w:val="0"/>
          <w:kern w:val="0"/>
          <w:sz w:val="32"/>
          <w:szCs w:val="32"/>
          <w:lang w:val="en-US" w:eastAsia="zh-CN"/>
        </w:rPr>
      </w:pPr>
      <w:r>
        <w:rPr>
          <w:rFonts w:hint="eastAsia" w:ascii="楷体_GB2312" w:hAnsi="Arial" w:eastAsia="楷体_GB2312" w:cs="仿宋_GB2312"/>
          <w:b/>
          <w:bCs/>
          <w:kern w:val="0"/>
          <w:sz w:val="32"/>
          <w:szCs w:val="32"/>
          <w:lang w:val="zh-CN"/>
        </w:rPr>
        <w:t>（一）</w:t>
      </w:r>
      <w:r>
        <w:rPr>
          <w:rFonts w:hint="eastAsia" w:ascii="楷体_GB2312" w:hAnsi="Arial" w:eastAsia="楷体_GB2312" w:cs="仿宋_GB2312"/>
          <w:b/>
          <w:bCs/>
          <w:spacing w:val="0"/>
          <w:kern w:val="0"/>
          <w:sz w:val="32"/>
          <w:szCs w:val="32"/>
          <w:lang w:val="zh-CN"/>
        </w:rPr>
        <w:t>产业结构</w:t>
      </w:r>
      <w:r>
        <w:rPr>
          <w:rFonts w:hint="eastAsia" w:ascii="楷体_GB2312" w:hAnsi="Arial" w:eastAsia="楷体_GB2312" w:cs="仿宋_GB2312"/>
          <w:b/>
          <w:bCs/>
          <w:spacing w:val="0"/>
          <w:kern w:val="0"/>
          <w:sz w:val="32"/>
          <w:szCs w:val="32"/>
          <w:lang w:val="en-US" w:eastAsia="zh-CN"/>
        </w:rPr>
        <w:t>日趋</w:t>
      </w:r>
      <w:r>
        <w:rPr>
          <w:rFonts w:hint="eastAsia" w:ascii="楷体_GB2312" w:hAnsi="Arial" w:eastAsia="楷体_GB2312" w:cs="仿宋_GB2312"/>
          <w:b/>
          <w:bCs/>
          <w:spacing w:val="0"/>
          <w:kern w:val="0"/>
          <w:sz w:val="32"/>
          <w:szCs w:val="32"/>
          <w:lang w:val="zh-CN"/>
        </w:rPr>
        <w:t>优化，</w:t>
      </w:r>
      <w:r>
        <w:rPr>
          <w:rFonts w:hint="eastAsia" w:ascii="楷体_GB2312" w:hAnsi="Arial" w:eastAsia="楷体_GB2312" w:cs="仿宋_GB2312"/>
          <w:b/>
          <w:bCs/>
          <w:spacing w:val="0"/>
          <w:kern w:val="0"/>
          <w:sz w:val="32"/>
          <w:szCs w:val="32"/>
          <w:lang w:val="en-US" w:eastAsia="zh-CN"/>
        </w:rPr>
        <w:t>主要经济指标呈现积极变化</w:t>
      </w:r>
    </w:p>
    <w:p>
      <w:pPr>
        <w:pStyle w:val="24"/>
        <w:keepNext w:val="0"/>
        <w:keepLines w:val="0"/>
        <w:pageBreakBefore w:val="0"/>
        <w:kinsoku/>
        <w:wordWrap/>
        <w:overflowPunct/>
        <w:topLinePunct w:val="0"/>
        <w:bidi w:val="0"/>
        <w:snapToGrid/>
        <w:spacing w:after="0" w:line="560" w:lineRule="exact"/>
        <w:ind w:firstLine="640" w:firstLineChars="200"/>
        <w:jc w:val="both"/>
        <w:rPr>
          <w:rFonts w:hint="eastAsia" w:ascii="仿宋_GB2312" w:hAnsi="Times New Roman" w:eastAsia="仿宋_GB2312" w:cs="Times New Roman"/>
          <w:kern w:val="2"/>
          <w:sz w:val="32"/>
          <w:szCs w:val="32"/>
          <w:lang w:val="zh-CN" w:eastAsia="zh-CN" w:bidi="ar-SA"/>
        </w:rPr>
      </w:pPr>
      <w:r>
        <w:rPr>
          <w:rFonts w:hint="eastAsia" w:ascii="Times New Roman" w:hAnsi="Times New Roman" w:eastAsia="仿宋_GB2312" w:cs="仿宋"/>
          <w:color w:val="auto"/>
          <w:kern w:val="0"/>
          <w:sz w:val="32"/>
          <w:szCs w:val="32"/>
          <w:highlight w:val="none"/>
          <w:lang w:val="en-US" w:eastAsia="zh-CN"/>
        </w:rPr>
        <w:t>全年地区生产总值预计完成</w:t>
      </w:r>
      <w:r>
        <w:rPr>
          <w:rFonts w:hint="eastAsia" w:ascii="仿宋_GB2312" w:hAnsi="Times New Roman" w:eastAsia="仿宋_GB2312" w:cs="Times New Roman"/>
          <w:kern w:val="2"/>
          <w:sz w:val="32"/>
          <w:szCs w:val="32"/>
          <w:lang w:val="en-US" w:eastAsia="zh-CN" w:bidi="ar-SA"/>
        </w:rPr>
        <w:t>21</w:t>
      </w:r>
      <w:r>
        <w:rPr>
          <w:rFonts w:hint="eastAsia" w:ascii="Times New Roman" w:hAnsi="Times New Roman" w:eastAsia="仿宋_GB2312" w:cs="仿宋"/>
          <w:color w:val="auto"/>
          <w:kern w:val="0"/>
          <w:sz w:val="32"/>
          <w:szCs w:val="32"/>
          <w:highlight w:val="none"/>
          <w:lang w:val="en-US" w:eastAsia="zh-CN"/>
        </w:rPr>
        <w:t>亿元，同比增长</w:t>
      </w:r>
      <w:r>
        <w:rPr>
          <w:rFonts w:hint="eastAsia" w:ascii="仿宋_GB2312" w:hAnsi="Times New Roman" w:eastAsia="仿宋_GB2312" w:cs="Times New Roman"/>
          <w:kern w:val="2"/>
          <w:sz w:val="32"/>
          <w:szCs w:val="32"/>
          <w:lang w:val="en-US" w:eastAsia="zh-CN" w:bidi="ar-SA"/>
        </w:rPr>
        <w:t>2.5%</w:t>
      </w:r>
      <w:r>
        <w:rPr>
          <w:rFonts w:hint="eastAsia" w:ascii="Times New Roman" w:hAnsi="Times New Roman" w:eastAsia="仿宋_GB2312" w:cs="仿宋"/>
          <w:color w:val="auto"/>
          <w:kern w:val="0"/>
          <w:sz w:val="32"/>
          <w:szCs w:val="32"/>
          <w:highlight w:val="none"/>
          <w:lang w:val="en-US" w:eastAsia="zh-CN"/>
        </w:rPr>
        <w:t>；</w:t>
      </w:r>
      <w:r>
        <w:rPr>
          <w:rFonts w:hint="eastAsia" w:ascii="仿宋_GB2312" w:hAnsi="Times New Roman" w:eastAsia="仿宋_GB2312" w:cs="Times New Roman"/>
          <w:kern w:val="2"/>
          <w:sz w:val="32"/>
          <w:szCs w:val="32"/>
          <w:lang w:val="en-US" w:eastAsia="zh-CN" w:bidi="ar-SA"/>
        </w:rPr>
        <w:t>500万元以上固定资产投资预计完成15.98亿元，增速61.7%；</w:t>
      </w:r>
      <w:r>
        <w:rPr>
          <w:rFonts w:hint="eastAsia" w:ascii="Times New Roman" w:hAnsi="Times New Roman" w:eastAsia="仿宋_GB2312" w:cs="仿宋"/>
          <w:color w:val="auto"/>
          <w:kern w:val="0"/>
          <w:sz w:val="32"/>
          <w:szCs w:val="32"/>
          <w:highlight w:val="none"/>
          <w:lang w:val="en-US" w:eastAsia="zh-CN"/>
        </w:rPr>
        <w:t>社会消费品零售总额预计实现</w:t>
      </w:r>
      <w:r>
        <w:rPr>
          <w:rFonts w:hint="eastAsia" w:ascii="仿宋_GB2312" w:hAnsi="Times New Roman" w:eastAsia="仿宋_GB2312" w:cs="Times New Roman"/>
          <w:kern w:val="2"/>
          <w:sz w:val="32"/>
          <w:szCs w:val="32"/>
          <w:lang w:val="en-US" w:eastAsia="zh-CN" w:bidi="ar-SA"/>
        </w:rPr>
        <w:t>5.33亿元，增速2.3%；</w:t>
      </w:r>
      <w:r>
        <w:rPr>
          <w:rFonts w:hint="eastAsia" w:ascii="Times New Roman" w:hAnsi="Times New Roman" w:eastAsia="仿宋_GB2312" w:cs="仿宋"/>
          <w:color w:val="auto"/>
          <w:kern w:val="0"/>
          <w:sz w:val="32"/>
          <w:szCs w:val="32"/>
          <w:highlight w:val="none"/>
          <w:lang w:val="en-US" w:eastAsia="zh-CN"/>
        </w:rPr>
        <w:t>城乡居民人</w:t>
      </w:r>
      <w:r>
        <w:rPr>
          <w:rFonts w:hint="eastAsia" w:ascii="仿宋_GB2312" w:hAnsi="Times New Roman" w:eastAsia="仿宋_GB2312" w:cs="Times New Roman"/>
          <w:kern w:val="2"/>
          <w:sz w:val="32"/>
          <w:szCs w:val="32"/>
          <w:lang w:val="en-US" w:eastAsia="zh-CN" w:bidi="ar-SA"/>
        </w:rPr>
        <w:t>均可支配收入分别预计完成35775元、15273元，增速分别为7%、8.9%。</w:t>
      </w:r>
    </w:p>
    <w:p>
      <w:pPr>
        <w:keepNext w:val="0"/>
        <w:keepLines w:val="0"/>
        <w:pageBreakBefore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仿宋_GB2312" w:hAnsi="楷体_GB2312" w:eastAsia="仿宋_GB2312" w:cs="楷体_GB2312"/>
          <w:color w:val="auto"/>
          <w:sz w:val="32"/>
          <w:szCs w:val="32"/>
          <w:lang w:val="en-US" w:eastAsia="zh-CN"/>
        </w:rPr>
      </w:pPr>
      <w:r>
        <w:rPr>
          <w:rFonts w:hint="eastAsia" w:ascii="仿宋_GB2312" w:hAnsi="Arial" w:eastAsia="仿宋_GB2312" w:cs="仿宋_GB2312"/>
          <w:b/>
          <w:bCs/>
          <w:sz w:val="32"/>
          <w:szCs w:val="32"/>
          <w:lang w:val="zh-CN"/>
        </w:rPr>
        <w:t>从产业发展看：</w:t>
      </w:r>
      <w:r>
        <w:rPr>
          <w:rFonts w:hint="eastAsia" w:ascii="仿宋_GB2312" w:eastAsia="仿宋_GB2312" w:cs="宋体"/>
          <w:b/>
          <w:color w:val="000000"/>
          <w:kern w:val="0"/>
          <w:sz w:val="32"/>
          <w:szCs w:val="32"/>
        </w:rPr>
        <w:t>第一产业</w:t>
      </w:r>
      <w:r>
        <w:rPr>
          <w:rFonts w:hint="eastAsia" w:ascii="仿宋_GB2312" w:eastAsia="仿宋_GB2312" w:cs="宋体"/>
          <w:b/>
          <w:color w:val="000000"/>
          <w:kern w:val="0"/>
          <w:sz w:val="32"/>
          <w:szCs w:val="32"/>
          <w:lang w:val="en-US" w:eastAsia="zh-CN"/>
        </w:rPr>
        <w:t>运行平稳</w:t>
      </w:r>
      <w:r>
        <w:rPr>
          <w:rFonts w:hint="eastAsia" w:ascii="仿宋_GB2312" w:eastAsia="仿宋_GB2312" w:cs="宋体"/>
          <w:b/>
          <w:color w:val="000000"/>
          <w:kern w:val="0"/>
          <w:sz w:val="32"/>
          <w:szCs w:val="32"/>
        </w:rPr>
        <w:t>。</w:t>
      </w:r>
      <w:r>
        <w:rPr>
          <w:rFonts w:hint="eastAsia" w:ascii="仿宋_GB2312" w:hAnsi="Times New Roman" w:eastAsia="仿宋_GB2312" w:cs="Times New Roman"/>
          <w:sz w:val="32"/>
          <w:szCs w:val="32"/>
          <w:lang w:val="en-US" w:eastAsia="zh-CN"/>
        </w:rPr>
        <w:t>2022年完成农作物种植32.1万亩，其中粮食作物20.8万亩，经济作物11.3万亩，完成了2022年大豆扩种和大豆玉米带状复合种植任务。我市第四项全国名特优新农产品—“阿尔山赤松茸”认证通过。实现牲畜存栏28.9万只，畜禽存栏3.5万羽。完成公益林管护21.3万亩、天然商品林管护8.1万亩、封山育林4万亩、退化林修复1万亩、人工造林0.1万亩。</w:t>
      </w:r>
      <w:r>
        <w:rPr>
          <w:rFonts w:hint="eastAsia" w:ascii="仿宋_GB2312" w:eastAsia="仿宋_GB2312"/>
          <w:b/>
          <w:color w:val="auto"/>
          <w:sz w:val="32"/>
          <w:szCs w:val="32"/>
          <w:shd w:val="clear" w:color="auto" w:fill="auto"/>
        </w:rPr>
        <w:t>第二产业</w:t>
      </w:r>
      <w:r>
        <w:rPr>
          <w:rFonts w:hint="eastAsia" w:ascii="仿宋_GB2312"/>
          <w:b/>
          <w:color w:val="auto"/>
          <w:sz w:val="32"/>
          <w:szCs w:val="32"/>
          <w:shd w:val="clear" w:color="auto" w:fill="auto"/>
          <w:lang w:val="en-US" w:eastAsia="zh-CN"/>
        </w:rPr>
        <w:t>供给转弱</w:t>
      </w:r>
      <w:r>
        <w:rPr>
          <w:rFonts w:hint="eastAsia" w:ascii="仿宋_GB2312" w:eastAsia="仿宋_GB2312"/>
          <w:b/>
          <w:color w:val="auto"/>
          <w:sz w:val="32"/>
          <w:szCs w:val="32"/>
          <w:shd w:val="clear" w:color="auto" w:fill="auto"/>
        </w:rPr>
        <w:t>。</w:t>
      </w:r>
      <w:r>
        <w:rPr>
          <w:rFonts w:hint="eastAsia" w:cs="仿宋"/>
          <w:color w:val="auto"/>
          <w:kern w:val="0"/>
          <w:sz w:val="32"/>
          <w:szCs w:val="32"/>
          <w:highlight w:val="none"/>
          <w:lang w:val="en-US" w:eastAsia="zh-CN"/>
        </w:rPr>
        <w:t>需求收缩、供给冲击、预期转弱“三重压力”在工业领域依然存在。</w:t>
      </w:r>
      <w:r>
        <w:rPr>
          <w:rFonts w:hint="default" w:ascii="仿宋_GB2312" w:hAnsi="Times New Roman" w:eastAsia="仿宋_GB2312" w:cs="Times New Roman"/>
          <w:sz w:val="32"/>
          <w:szCs w:val="32"/>
          <w:lang w:val="en-US" w:eastAsia="zh-CN"/>
        </w:rPr>
        <w:t>全市</w:t>
      </w:r>
      <w:r>
        <w:rPr>
          <w:rFonts w:hint="eastAsia" w:ascii="仿宋_GB2312" w:hAnsi="Times New Roman" w:eastAsia="仿宋_GB2312" w:cs="Times New Roman"/>
          <w:sz w:val="32"/>
          <w:szCs w:val="32"/>
          <w:lang w:val="en-US" w:eastAsia="zh-CN"/>
        </w:rPr>
        <w:t>现</w:t>
      </w:r>
      <w:r>
        <w:rPr>
          <w:rFonts w:hint="default" w:ascii="仿宋_GB2312" w:hAnsi="Times New Roman" w:eastAsia="仿宋_GB2312" w:cs="Times New Roman"/>
          <w:sz w:val="32"/>
          <w:szCs w:val="32"/>
          <w:lang w:val="en-US" w:eastAsia="zh-CN"/>
        </w:rPr>
        <w:t>有规模以上工业企业2家，分别为内蒙古蓝海矿泉水有限责任公司和阿尔山伊利天然矿泉饮品有限责任公司。</w:t>
      </w:r>
      <w:r>
        <w:rPr>
          <w:rFonts w:hint="eastAsia" w:ascii="仿宋_GB2312" w:hAnsi="Times New Roman" w:eastAsia="仿宋_GB2312" w:cs="Times New Roman"/>
          <w:sz w:val="32"/>
          <w:szCs w:val="32"/>
          <w:lang w:val="en-US" w:eastAsia="zh-CN"/>
        </w:rPr>
        <w:t>2022年全年规上企业工业总产值预计0.8万元，同比下降4.4%。阿尔山市伊利活泉茶设备改造项目，已逐步引进设备进行安装。</w:t>
      </w:r>
      <w:r>
        <w:rPr>
          <w:rFonts w:hint="eastAsia" w:ascii="仿宋_GB2312" w:hAnsi="仿宋_GB2312" w:eastAsia="仿宋_GB2312" w:cs="仿宋_GB2312"/>
          <w:b/>
          <w:color w:val="auto"/>
          <w:sz w:val="32"/>
          <w:szCs w:val="32"/>
          <w:u w:val="none"/>
          <w:shd w:val="clear" w:color="auto" w:fill="auto"/>
        </w:rPr>
        <w:t>第三产业</w:t>
      </w:r>
      <w:r>
        <w:rPr>
          <w:rFonts w:hint="eastAsia" w:ascii="仿宋_GB2312" w:hAnsi="仿宋_GB2312" w:cs="仿宋_GB2312"/>
          <w:b/>
          <w:color w:val="auto"/>
          <w:sz w:val="32"/>
          <w:szCs w:val="32"/>
          <w:u w:val="none"/>
          <w:shd w:val="clear" w:color="auto" w:fill="auto"/>
          <w:lang w:val="en-US" w:eastAsia="zh-CN"/>
        </w:rPr>
        <w:t>复苏发展</w:t>
      </w:r>
      <w:r>
        <w:rPr>
          <w:rFonts w:hint="eastAsia" w:ascii="仿宋_GB2312" w:hAnsi="仿宋_GB2312" w:eastAsia="仿宋_GB2312" w:cs="仿宋_GB2312"/>
          <w:b/>
          <w:color w:val="auto"/>
          <w:sz w:val="32"/>
          <w:szCs w:val="32"/>
          <w:u w:val="none"/>
          <w:shd w:val="clear" w:color="auto" w:fill="auto"/>
        </w:rPr>
        <w:t>。</w:t>
      </w:r>
      <w:r>
        <w:rPr>
          <w:rFonts w:hint="eastAsia" w:ascii="仿宋_GB2312" w:hAnsi="Times New Roman" w:eastAsia="仿宋_GB2312" w:cs="Times New Roman"/>
          <w:sz w:val="32"/>
          <w:szCs w:val="32"/>
          <w:lang w:val="en-US" w:eastAsia="zh-CN"/>
        </w:rPr>
        <w:t>2022年，全年实现旅游人数190.9万人、收入27.7亿元。</w:t>
      </w:r>
      <w:r>
        <w:rPr>
          <w:rFonts w:hint="eastAsia" w:cs="仿宋"/>
          <w:b/>
          <w:bCs/>
          <w:color w:val="auto"/>
          <w:kern w:val="0"/>
          <w:sz w:val="32"/>
          <w:szCs w:val="32"/>
          <w:highlight w:val="none"/>
          <w:lang w:val="en-US" w:eastAsia="zh-CN"/>
        </w:rPr>
        <w:t>一是</w:t>
      </w:r>
      <w:r>
        <w:rPr>
          <w:rFonts w:hint="eastAsia" w:cs="仿宋"/>
          <w:color w:val="auto"/>
          <w:kern w:val="0"/>
          <w:sz w:val="32"/>
          <w:szCs w:val="32"/>
          <w:highlight w:val="none"/>
          <w:lang w:val="en-US" w:eastAsia="zh-CN"/>
        </w:rPr>
        <w:t>坚持规划引领，强化智</w:t>
      </w:r>
      <w:r>
        <w:rPr>
          <w:rFonts w:hint="eastAsia" w:ascii="楷体_GB2312" w:hAnsi="楷体_GB2312" w:eastAsia="楷体_GB2312" w:cs="楷体_GB2312"/>
          <w:b w:val="0"/>
          <w:bCs w:val="0"/>
          <w:color w:val="auto"/>
          <w:sz w:val="32"/>
          <w:szCs w:val="32"/>
        </w:rPr>
        <w:t>力支撑。</w:t>
      </w:r>
      <w:r>
        <w:rPr>
          <w:rFonts w:hint="eastAsia" w:cs="仿宋"/>
          <w:color w:val="auto"/>
          <w:kern w:val="0"/>
          <w:sz w:val="32"/>
          <w:szCs w:val="32"/>
          <w:highlight w:val="none"/>
          <w:lang w:val="en-US" w:eastAsia="zh-CN"/>
        </w:rPr>
        <w:t>修改完善了《阿尔山市旅游总体规划》、《全域旅游规划》、</w:t>
      </w:r>
      <w:r>
        <w:rPr>
          <w:rFonts w:hint="eastAsia" w:ascii="仿宋_GB2312" w:hAnsi="仿宋_GB2312" w:eastAsia="仿宋_GB2312" w:cs="仿宋_GB2312"/>
          <w:color w:val="000000"/>
          <w:sz w:val="32"/>
          <w:szCs w:val="32"/>
          <w:highlight w:val="none"/>
          <w:lang w:val="en-US" w:eastAsia="zh-CN"/>
        </w:rPr>
        <w:t>编制完成《阿尔山国家级旅游度假区总体规划（2022-2030）》</w:t>
      </w:r>
      <w:r>
        <w:rPr>
          <w:rFonts w:hint="eastAsia" w:cs="仿宋"/>
          <w:color w:val="auto"/>
          <w:kern w:val="0"/>
          <w:sz w:val="32"/>
          <w:szCs w:val="32"/>
          <w:highlight w:val="none"/>
          <w:lang w:val="en-US" w:eastAsia="zh-CN"/>
        </w:rPr>
        <w:t>，</w:t>
      </w:r>
      <w:r>
        <w:rPr>
          <w:rFonts w:hint="eastAsia" w:ascii="仿宋_GB2312" w:hAnsi="仿宋_GB2312" w:eastAsia="仿宋_GB2312" w:cs="仿宋_GB2312"/>
          <w:color w:val="auto"/>
          <w:sz w:val="32"/>
          <w:szCs w:val="32"/>
          <w:highlight w:val="none"/>
        </w:rPr>
        <w:t>白狼镇</w:t>
      </w:r>
      <w:r>
        <w:rPr>
          <w:rFonts w:hint="eastAsia" w:ascii="仿宋_GB2312" w:hAnsi="仿宋_GB2312" w:eastAsia="仿宋_GB2312" w:cs="仿宋_GB2312"/>
          <w:color w:val="auto"/>
          <w:sz w:val="32"/>
          <w:szCs w:val="32"/>
          <w:highlight w:val="none"/>
          <w:lang w:val="en-US" w:eastAsia="zh-CN"/>
        </w:rPr>
        <w:t>获评</w:t>
      </w:r>
      <w:r>
        <w:rPr>
          <w:rFonts w:hint="eastAsia" w:ascii="仿宋_GB2312" w:hAnsi="仿宋_GB2312" w:eastAsia="仿宋_GB2312" w:cs="仿宋_GB2312"/>
          <w:color w:val="auto"/>
          <w:sz w:val="32"/>
          <w:szCs w:val="32"/>
          <w:highlight w:val="none"/>
        </w:rPr>
        <w:t>全国乡村旅游重点镇</w:t>
      </w:r>
      <w:r>
        <w:rPr>
          <w:rFonts w:hint="eastAsia" w:cs="仿宋"/>
          <w:color w:val="auto"/>
          <w:kern w:val="0"/>
          <w:sz w:val="32"/>
          <w:szCs w:val="32"/>
          <w:highlight w:val="none"/>
          <w:lang w:val="en-US" w:eastAsia="zh-CN"/>
        </w:rPr>
        <w:t>。</w:t>
      </w:r>
      <w:r>
        <w:rPr>
          <w:rFonts w:hint="eastAsia" w:ascii="仿宋_GB2312" w:hAnsi="仿宋_GB2312" w:eastAsia="仿宋_GB2312" w:cs="仿宋_GB2312"/>
          <w:b/>
          <w:bCs/>
          <w:color w:val="auto"/>
          <w:sz w:val="32"/>
          <w:szCs w:val="32"/>
          <w:shd w:val="clear" w:color="auto" w:fill="auto"/>
          <w:lang w:val="en-US" w:eastAsia="zh-CN"/>
        </w:rPr>
        <w:t>二</w:t>
      </w:r>
      <w:r>
        <w:rPr>
          <w:rFonts w:hint="eastAsia" w:ascii="仿宋_GB2312" w:hAnsi="仿宋_GB2312" w:cs="仿宋_GB2312"/>
          <w:b/>
          <w:bCs/>
          <w:color w:val="auto"/>
          <w:sz w:val="32"/>
          <w:szCs w:val="32"/>
          <w:shd w:val="clear" w:color="auto" w:fill="auto"/>
          <w:lang w:val="en-US" w:eastAsia="zh-CN"/>
        </w:rPr>
        <w:t>是</w:t>
      </w:r>
      <w:r>
        <w:rPr>
          <w:rFonts w:hint="eastAsia" w:ascii="仿宋_GB2312" w:hAnsi="仿宋_GB2312" w:eastAsia="仿宋_GB2312" w:cs="仿宋_GB2312"/>
          <w:b w:val="0"/>
          <w:bCs w:val="0"/>
          <w:color w:val="auto"/>
          <w:sz w:val="32"/>
          <w:szCs w:val="32"/>
          <w:shd w:val="clear" w:color="auto" w:fill="auto"/>
          <w:lang w:val="en-US" w:eastAsia="zh-CN"/>
        </w:rPr>
        <w:t>坚持项目带动，丰富度假产品</w:t>
      </w:r>
      <w:r>
        <w:rPr>
          <w:rFonts w:hint="eastAsia" w:ascii="仿宋_GB2312" w:hAnsi="仿宋_GB2312" w:eastAsia="仿宋_GB2312" w:cs="仿宋_GB2312"/>
          <w:b w:val="0"/>
          <w:bCs w:val="0"/>
          <w:color w:val="auto"/>
          <w:sz w:val="32"/>
          <w:szCs w:val="32"/>
          <w:lang w:val="en-US" w:eastAsia="zh-CN"/>
        </w:rPr>
        <w:t>。</w:t>
      </w:r>
      <w:r>
        <w:rPr>
          <w:rFonts w:hint="eastAsia" w:cs="仿宋"/>
          <w:color w:val="auto"/>
          <w:kern w:val="0"/>
          <w:sz w:val="32"/>
          <w:szCs w:val="32"/>
          <w:highlight w:val="none"/>
          <w:lang w:val="en-US" w:eastAsia="zh-CN"/>
        </w:rPr>
        <w:t>建成“鹿角湾”温泉度假营地、氧心森林浴道、哈拉哈漂流公园等高水准旅游产品，圣泉广场改造提升、阿尔山啤酒·青坊、森林浴道、游客服务中心等项目已建成投运，打造“山珍水宴”“阿尔鹿”文创店等特色鲜明的旅游业态，高质量完成年度创区任务。</w:t>
      </w:r>
      <w:r>
        <w:rPr>
          <w:rFonts w:hint="eastAsia" w:ascii="仿宋_GB2312" w:hAnsi="仿宋_GB2312" w:eastAsia="仿宋_GB2312" w:cs="仿宋_GB2312"/>
          <w:b/>
          <w:bCs/>
          <w:color w:val="auto"/>
          <w:sz w:val="32"/>
          <w:szCs w:val="32"/>
          <w:shd w:val="clear" w:color="auto" w:fill="auto"/>
          <w:lang w:val="en-US" w:eastAsia="zh-CN"/>
        </w:rPr>
        <w:t>三是</w:t>
      </w:r>
      <w:r>
        <w:rPr>
          <w:rFonts w:hint="eastAsia" w:ascii="仿宋_GB2312" w:hAnsi="仿宋_GB2312" w:eastAsia="仿宋_GB2312" w:cs="仿宋_GB2312"/>
          <w:b w:val="0"/>
          <w:bCs w:val="0"/>
          <w:color w:val="auto"/>
          <w:sz w:val="32"/>
          <w:szCs w:val="32"/>
          <w:shd w:val="clear" w:color="auto" w:fill="auto"/>
          <w:lang w:val="en-US" w:eastAsia="zh-CN"/>
        </w:rPr>
        <w:t>坚持精品宣传，营造浓厚氛围。</w:t>
      </w:r>
      <w:r>
        <w:rPr>
          <w:rFonts w:hint="eastAsia" w:cs="仿宋"/>
          <w:color w:val="auto"/>
          <w:kern w:val="0"/>
          <w:sz w:val="32"/>
          <w:szCs w:val="32"/>
          <w:highlight w:val="none"/>
          <w:lang w:val="en-US" w:eastAsia="zh-CN"/>
        </w:rPr>
        <w:t>成功举办了“中国旅游日”、“文化和自然遗产日”、第十七届冰雪节等主题活动，顺利召开了第三届校友经济论坛、全国旅游管理博士后学术论坛、旅游度假大会等高端论坛。针对不同节庆主题，精心包装推出</w:t>
      </w:r>
      <w:r>
        <w:rPr>
          <w:rFonts w:hint="eastAsia" w:ascii="仿宋_GB2312" w:hAnsi="仿宋_GB2312" w:eastAsia="仿宋_GB2312" w:cs="仿宋_GB2312"/>
          <w:color w:val="000000"/>
          <w:sz w:val="32"/>
          <w:szCs w:val="32"/>
          <w:highlight w:val="none"/>
          <w:lang w:val="en-US" w:eastAsia="zh-CN"/>
        </w:rPr>
        <w:t>了10条</w:t>
      </w:r>
      <w:r>
        <w:rPr>
          <w:rFonts w:hint="eastAsia" w:ascii="Times New Roman" w:hAnsi="Times New Roman" w:cs="仿宋"/>
          <w:color w:val="auto"/>
          <w:kern w:val="0"/>
          <w:sz w:val="32"/>
          <w:szCs w:val="32"/>
          <w:highlight w:val="none"/>
          <w:lang w:val="en-US" w:eastAsia="zh-CN"/>
        </w:rPr>
        <w:t>精品线路和</w:t>
      </w:r>
      <w:r>
        <w:rPr>
          <w:rFonts w:hint="eastAsia" w:ascii="仿宋_GB2312" w:hAnsi="仿宋_GB2312" w:eastAsia="仿宋_GB2312" w:cs="仿宋_GB2312"/>
          <w:color w:val="000000"/>
          <w:sz w:val="32"/>
          <w:szCs w:val="32"/>
          <w:highlight w:val="none"/>
          <w:lang w:val="en-US" w:eastAsia="zh-CN"/>
        </w:rPr>
        <w:t>38篇</w:t>
      </w:r>
      <w:r>
        <w:rPr>
          <w:rFonts w:hint="eastAsia" w:ascii="Times New Roman" w:hAnsi="Times New Roman" w:cs="仿宋"/>
          <w:color w:val="auto"/>
          <w:kern w:val="0"/>
          <w:sz w:val="32"/>
          <w:szCs w:val="32"/>
          <w:highlight w:val="none"/>
          <w:lang w:val="en-US" w:eastAsia="zh-CN"/>
        </w:rPr>
        <w:t>旅</w:t>
      </w:r>
      <w:r>
        <w:rPr>
          <w:rFonts w:hint="eastAsia" w:cs="仿宋"/>
          <w:color w:val="auto"/>
          <w:kern w:val="0"/>
          <w:sz w:val="32"/>
          <w:szCs w:val="32"/>
          <w:highlight w:val="none"/>
          <w:lang w:val="en-US" w:eastAsia="zh-CN"/>
        </w:rPr>
        <w:t>游攻略，成功推出了“阿尔鹿”文创品牌。邀请各界名人为阿尔山代言，与央媒、区媒等各级媒体合作，采用各级媒体矩阵、线上直播和参加推介会等方式，对度假区创建、旅游活动多渠道宣传，累计在央视、人民网、新华社、中国旅游报等主流媒体以及微信、抖音等新媒体播发图文视频信息</w:t>
      </w:r>
      <w:r>
        <w:rPr>
          <w:rFonts w:hint="eastAsia" w:ascii="仿宋_GB2312" w:hAnsi="仿宋_GB2312" w:eastAsia="仿宋_GB2312" w:cs="仿宋_GB2312"/>
          <w:color w:val="000000"/>
          <w:sz w:val="32"/>
          <w:szCs w:val="32"/>
          <w:highlight w:val="none"/>
          <w:lang w:val="en-US" w:eastAsia="zh-CN"/>
        </w:rPr>
        <w:t>588次</w:t>
      </w:r>
      <w:r>
        <w:rPr>
          <w:rFonts w:hint="eastAsia" w:cs="仿宋"/>
          <w:color w:val="auto"/>
          <w:kern w:val="0"/>
          <w:sz w:val="32"/>
          <w:szCs w:val="32"/>
          <w:highlight w:val="none"/>
          <w:lang w:val="en-US" w:eastAsia="zh-CN"/>
        </w:rPr>
        <w:t>，阿尔山旅游度假区的形象得到进一步提升。</w:t>
      </w:r>
    </w:p>
    <w:p>
      <w:pPr>
        <w:keepNext w:val="0"/>
        <w:keepLines w:val="0"/>
        <w:pageBreakBefore w:val="0"/>
        <w:kinsoku/>
        <w:wordWrap/>
        <w:overflowPunct/>
        <w:topLinePunct w:val="0"/>
        <w:bidi w:val="0"/>
        <w:snapToGrid/>
        <w:spacing w:line="560" w:lineRule="exact"/>
        <w:ind w:firstLine="643" w:firstLineChars="200"/>
        <w:jc w:val="both"/>
        <w:textAlignment w:val="auto"/>
        <w:rPr>
          <w:rFonts w:hint="eastAsia" w:ascii="仿宋_GB2312" w:hAnsi="宋体" w:eastAsia="仿宋_GB2312" w:cs="宋体"/>
          <w:color w:val="auto"/>
          <w:kern w:val="0"/>
          <w:sz w:val="32"/>
          <w:szCs w:val="32"/>
          <w:lang w:val="en-US" w:eastAsia="zh-CN"/>
        </w:rPr>
      </w:pPr>
      <w:r>
        <w:rPr>
          <w:rFonts w:hint="eastAsia" w:ascii="仿宋_GB2312" w:hAnsi="Arial" w:eastAsia="仿宋_GB2312" w:cs="仿宋_GB2312"/>
          <w:b/>
          <w:bCs/>
          <w:color w:val="auto"/>
          <w:sz w:val="32"/>
          <w:szCs w:val="32"/>
          <w:lang w:val="zh-CN"/>
        </w:rPr>
        <w:t>从需求方面看：</w:t>
      </w:r>
      <w:r>
        <w:rPr>
          <w:rFonts w:hint="eastAsia" w:cs="仿宋"/>
          <w:color w:val="auto"/>
          <w:kern w:val="0"/>
          <w:sz w:val="32"/>
          <w:szCs w:val="32"/>
          <w:highlight w:val="none"/>
          <w:lang w:val="zh-CN" w:eastAsia="zh-CN"/>
        </w:rPr>
        <w:t>消费需求增长</w:t>
      </w:r>
      <w:r>
        <w:rPr>
          <w:rFonts w:hint="eastAsia" w:cs="仿宋"/>
          <w:color w:val="auto"/>
          <w:kern w:val="0"/>
          <w:sz w:val="32"/>
          <w:szCs w:val="32"/>
          <w:highlight w:val="none"/>
          <w:lang w:val="en-US" w:eastAsia="zh-CN"/>
        </w:rPr>
        <w:t>放缓</w:t>
      </w:r>
      <w:r>
        <w:rPr>
          <w:rFonts w:hint="eastAsia" w:cs="仿宋"/>
          <w:color w:val="auto"/>
          <w:kern w:val="0"/>
          <w:sz w:val="32"/>
          <w:szCs w:val="32"/>
          <w:highlight w:val="none"/>
          <w:lang w:val="zh-CN" w:eastAsia="zh-CN"/>
        </w:rPr>
        <w:t>。</w:t>
      </w:r>
      <w:r>
        <w:rPr>
          <w:rFonts w:hint="eastAsia" w:cs="仿宋"/>
          <w:color w:val="auto"/>
          <w:kern w:val="0"/>
          <w:sz w:val="32"/>
          <w:szCs w:val="32"/>
          <w:highlight w:val="none"/>
          <w:lang w:val="en-US" w:eastAsia="zh-CN"/>
        </w:rPr>
        <w:t>受疫情影响</w:t>
      </w:r>
      <w:r>
        <w:rPr>
          <w:rFonts w:hint="eastAsia" w:cs="仿宋"/>
          <w:color w:val="auto"/>
          <w:kern w:val="0"/>
          <w:sz w:val="32"/>
          <w:szCs w:val="32"/>
          <w:highlight w:val="none"/>
          <w:lang w:val="zh-CN" w:eastAsia="zh-CN"/>
        </w:rPr>
        <w:t>，全年社会消费品零售总额</w:t>
      </w:r>
      <w:r>
        <w:rPr>
          <w:rFonts w:hint="eastAsia" w:cs="仿宋"/>
          <w:color w:val="auto"/>
          <w:kern w:val="0"/>
          <w:sz w:val="32"/>
          <w:szCs w:val="32"/>
          <w:highlight w:val="none"/>
          <w:lang w:val="en-US" w:eastAsia="zh-CN"/>
        </w:rPr>
        <w:t>预计</w:t>
      </w:r>
      <w:r>
        <w:rPr>
          <w:rFonts w:hint="eastAsia" w:cs="仿宋"/>
          <w:color w:val="auto"/>
          <w:kern w:val="0"/>
          <w:sz w:val="32"/>
          <w:szCs w:val="32"/>
          <w:highlight w:val="none"/>
          <w:lang w:val="zh-CN" w:eastAsia="zh-CN"/>
        </w:rPr>
        <w:t>达到</w:t>
      </w:r>
      <w:r>
        <w:rPr>
          <w:rFonts w:hint="eastAsia" w:ascii="仿宋_GB2312" w:hAnsi="仿宋_GB2312" w:eastAsia="仿宋_GB2312" w:cs="仿宋_GB2312"/>
          <w:color w:val="000000"/>
          <w:sz w:val="32"/>
          <w:szCs w:val="32"/>
          <w:highlight w:val="none"/>
          <w:lang w:val="en-US" w:eastAsia="zh-CN"/>
        </w:rPr>
        <w:t>5.33</w:t>
      </w:r>
      <w:r>
        <w:rPr>
          <w:rFonts w:hint="eastAsia" w:ascii="仿宋_GB2312" w:hAnsi="仿宋_GB2312" w:eastAsia="仿宋_GB2312" w:cs="仿宋_GB2312"/>
          <w:color w:val="000000"/>
          <w:sz w:val="32"/>
          <w:szCs w:val="32"/>
          <w:highlight w:val="none"/>
          <w:lang w:val="zh-CN" w:eastAsia="zh-CN"/>
        </w:rPr>
        <w:t>亿元，</w:t>
      </w:r>
      <w:r>
        <w:rPr>
          <w:rFonts w:hint="eastAsia" w:ascii="仿宋_GB2312" w:hAnsi="仿宋_GB2312" w:eastAsia="仿宋_GB2312" w:cs="仿宋_GB2312"/>
          <w:color w:val="000000"/>
          <w:sz w:val="32"/>
          <w:szCs w:val="32"/>
          <w:highlight w:val="none"/>
          <w:lang w:val="en-US" w:eastAsia="zh-CN"/>
        </w:rPr>
        <w:t>增长2.3</w:t>
      </w:r>
      <w:r>
        <w:rPr>
          <w:rFonts w:hint="eastAsia" w:ascii="仿宋_GB2312" w:hAnsi="仿宋_GB2312" w:eastAsia="仿宋_GB2312" w:cs="仿宋_GB2312"/>
          <w:color w:val="000000"/>
          <w:sz w:val="32"/>
          <w:szCs w:val="32"/>
          <w:highlight w:val="none"/>
          <w:lang w:val="zh-CN" w:eastAsia="zh-CN"/>
        </w:rPr>
        <w:t>%</w:t>
      </w:r>
      <w:r>
        <w:rPr>
          <w:rFonts w:hint="eastAsia" w:cs="仿宋"/>
          <w:color w:val="auto"/>
          <w:kern w:val="0"/>
          <w:sz w:val="32"/>
          <w:szCs w:val="32"/>
          <w:highlight w:val="none"/>
          <w:lang w:val="zh-CN" w:eastAsia="zh-CN"/>
        </w:rPr>
        <w:t>。居民消费价格受全国物价上涨总体形势影响，呈现一定上涨趋势，但得到有效控制。</w:t>
      </w:r>
    </w:p>
    <w:p>
      <w:pPr>
        <w:keepNext w:val="0"/>
        <w:keepLines w:val="0"/>
        <w:pageBreakBefore w:val="0"/>
        <w:kinsoku/>
        <w:wordWrap/>
        <w:overflowPunct/>
        <w:topLinePunct w:val="0"/>
        <w:autoSpaceDE w:val="0"/>
        <w:autoSpaceDN w:val="0"/>
        <w:bidi w:val="0"/>
        <w:adjustRightInd w:val="0"/>
        <w:snapToGrid/>
        <w:spacing w:line="560" w:lineRule="exact"/>
        <w:ind w:firstLine="641"/>
        <w:jc w:val="both"/>
        <w:textAlignment w:val="auto"/>
        <w:outlineLvl w:val="1"/>
        <w:rPr>
          <w:rFonts w:hint="eastAsia" w:ascii="楷体_GB2312" w:hAnsi="Arial" w:eastAsia="楷体_GB2312"/>
          <w:b/>
          <w:bCs/>
          <w:color w:val="auto"/>
          <w:sz w:val="32"/>
          <w:szCs w:val="32"/>
          <w:lang w:val="en-US" w:eastAsia="zh-CN"/>
        </w:rPr>
      </w:pPr>
      <w:r>
        <w:rPr>
          <w:rFonts w:hint="eastAsia" w:ascii="楷体_GB2312" w:hAnsi="Arial" w:eastAsia="楷体_GB2312" w:cs="仿宋_GB2312"/>
          <w:b/>
          <w:bCs/>
          <w:color w:val="auto"/>
          <w:sz w:val="32"/>
          <w:szCs w:val="32"/>
          <w:lang w:val="zh-CN"/>
        </w:rPr>
        <w:t>（二）</w:t>
      </w:r>
      <w:r>
        <w:rPr>
          <w:rFonts w:hint="eastAsia" w:ascii="楷体_GB2312" w:hAnsi="Arial" w:eastAsia="楷体_GB2312" w:cs="仿宋_GB2312"/>
          <w:b/>
          <w:bCs/>
          <w:color w:val="auto"/>
          <w:sz w:val="32"/>
          <w:szCs w:val="32"/>
          <w:lang w:val="en-US" w:eastAsia="zh-CN"/>
        </w:rPr>
        <w:t>财税</w:t>
      </w:r>
      <w:r>
        <w:rPr>
          <w:rFonts w:hint="eastAsia" w:ascii="楷体_GB2312" w:hAnsi="Arial" w:eastAsia="楷体_GB2312" w:cs="仿宋_GB2312"/>
          <w:b/>
          <w:bCs/>
          <w:color w:val="auto"/>
          <w:sz w:val="32"/>
          <w:szCs w:val="32"/>
          <w:lang w:val="zh-CN"/>
        </w:rPr>
        <w:t>收入</w:t>
      </w:r>
      <w:r>
        <w:rPr>
          <w:rFonts w:hint="eastAsia" w:ascii="楷体_GB2312" w:hAnsi="Arial" w:eastAsia="楷体_GB2312" w:cs="仿宋_GB2312"/>
          <w:b/>
          <w:bCs/>
          <w:color w:val="auto"/>
          <w:sz w:val="32"/>
          <w:szCs w:val="32"/>
          <w:lang w:val="en-US" w:eastAsia="zh-CN"/>
        </w:rPr>
        <w:t>保持平稳</w:t>
      </w:r>
      <w:r>
        <w:rPr>
          <w:rFonts w:hint="eastAsia" w:ascii="楷体_GB2312" w:hAnsi="Arial" w:eastAsia="楷体_GB2312" w:cs="仿宋_GB2312"/>
          <w:b/>
          <w:bCs/>
          <w:color w:val="auto"/>
          <w:sz w:val="32"/>
          <w:szCs w:val="32"/>
          <w:lang w:val="zh-CN"/>
        </w:rPr>
        <w:t>，金融存贷运行</w:t>
      </w:r>
      <w:r>
        <w:rPr>
          <w:rFonts w:hint="eastAsia" w:ascii="楷体_GB2312" w:hAnsi="Arial" w:eastAsia="楷体_GB2312" w:cs="仿宋_GB2312"/>
          <w:b/>
          <w:bCs/>
          <w:color w:val="auto"/>
          <w:sz w:val="32"/>
          <w:szCs w:val="32"/>
          <w:lang w:val="en-US" w:eastAsia="zh-CN"/>
        </w:rPr>
        <w:t>良好</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shd w:val="clear" w:color="auto" w:fill="auto"/>
          <w:lang w:val="zh-CN" w:eastAsia="zh-CN" w:bidi="ar-SA"/>
        </w:rPr>
      </w:pPr>
      <w:r>
        <w:rPr>
          <w:rFonts w:hint="eastAsia" w:ascii="仿宋_GB2312" w:hAnsi="仿宋_GB2312" w:eastAsia="仿宋_GB2312" w:cs="仿宋_GB2312"/>
          <w:color w:val="auto"/>
          <w:kern w:val="0"/>
          <w:sz w:val="32"/>
          <w:szCs w:val="32"/>
          <w:u w:val="none"/>
          <w:shd w:val="clear" w:color="auto" w:fill="auto"/>
          <w:lang w:val="zh-CN" w:eastAsia="zh-CN" w:bidi="ar-SA"/>
        </w:rPr>
        <w:t>以项目建设为支撑</w:t>
      </w:r>
      <w:r>
        <w:rPr>
          <w:rFonts w:hint="eastAsia" w:ascii="仿宋_GB2312" w:hAnsi="仿宋_GB2312" w:cs="仿宋_GB2312"/>
          <w:color w:val="auto"/>
          <w:kern w:val="0"/>
          <w:sz w:val="32"/>
          <w:szCs w:val="32"/>
          <w:u w:val="none"/>
          <w:shd w:val="clear" w:color="auto" w:fill="auto"/>
          <w:lang w:val="zh-CN" w:eastAsia="zh-CN" w:bidi="ar-SA"/>
        </w:rPr>
        <w:t>，</w:t>
      </w:r>
      <w:r>
        <w:rPr>
          <w:rFonts w:hint="eastAsia" w:ascii="仿宋_GB2312" w:hAnsi="仿宋_GB2312" w:eastAsia="仿宋_GB2312" w:cs="仿宋_GB2312"/>
          <w:color w:val="auto"/>
          <w:kern w:val="0"/>
          <w:sz w:val="32"/>
          <w:szCs w:val="32"/>
          <w:u w:val="none"/>
          <w:shd w:val="clear" w:color="auto" w:fill="auto"/>
          <w:lang w:val="zh-CN" w:eastAsia="zh-CN" w:bidi="ar-SA"/>
        </w:rPr>
        <w:t>着力培植税源</w:t>
      </w:r>
      <w:r>
        <w:rPr>
          <w:rFonts w:hint="eastAsia" w:ascii="仿宋_GB2312" w:hAnsi="仿宋_GB2312" w:cs="仿宋_GB2312"/>
          <w:color w:val="auto"/>
          <w:kern w:val="0"/>
          <w:sz w:val="32"/>
          <w:szCs w:val="32"/>
          <w:u w:val="none"/>
          <w:shd w:val="clear" w:color="auto" w:fill="auto"/>
          <w:lang w:val="zh-CN" w:eastAsia="zh-CN" w:bidi="ar-SA"/>
        </w:rPr>
        <w:t>，</w:t>
      </w:r>
      <w:r>
        <w:rPr>
          <w:rFonts w:hint="eastAsia" w:ascii="仿宋_GB2312" w:hAnsi="仿宋_GB2312" w:eastAsia="仿宋_GB2312" w:cs="仿宋_GB2312"/>
          <w:color w:val="auto"/>
          <w:kern w:val="0"/>
          <w:sz w:val="32"/>
          <w:szCs w:val="32"/>
          <w:u w:val="none"/>
          <w:shd w:val="clear" w:color="auto" w:fill="auto"/>
          <w:lang w:val="zh-CN" w:eastAsia="zh-CN" w:bidi="ar-SA"/>
        </w:rPr>
        <w:t>加强征管</w:t>
      </w:r>
      <w:r>
        <w:rPr>
          <w:rFonts w:hint="eastAsia" w:ascii="仿宋_GB2312" w:hAnsi="仿宋_GB2312" w:cs="仿宋_GB2312"/>
          <w:color w:val="auto"/>
          <w:kern w:val="0"/>
          <w:sz w:val="32"/>
          <w:szCs w:val="32"/>
          <w:u w:val="none"/>
          <w:shd w:val="clear" w:color="auto" w:fill="auto"/>
          <w:lang w:val="zh-CN" w:eastAsia="zh-CN" w:bidi="ar-SA"/>
        </w:rPr>
        <w:t>。</w:t>
      </w:r>
      <w:r>
        <w:rPr>
          <w:rFonts w:hint="eastAsia" w:ascii="仿宋_GB2312" w:hAnsi="仿宋_GB2312" w:eastAsia="仿宋_GB2312" w:cs="仿宋_GB2312"/>
          <w:sz w:val="32"/>
          <w:szCs w:val="32"/>
          <w:u w:val="none"/>
          <w:lang w:val="en-US" w:eastAsia="zh-CN"/>
        </w:rPr>
        <w:t>统筹财政资源，兼顾稳增长和防风险需要，合理安排债务规模，保证财政支出强度，优化支出重点和结构，持续改善民生，严肃财经纪律，着力稳定宏观经济大盘</w:t>
      </w:r>
      <w:r>
        <w:rPr>
          <w:rFonts w:hint="eastAsia" w:ascii="仿宋_GB2312" w:hAnsi="仿宋_GB2312" w:cs="仿宋_GB2312"/>
          <w:sz w:val="32"/>
          <w:szCs w:val="32"/>
          <w:u w:val="none"/>
          <w:lang w:val="en-US" w:eastAsia="zh-CN"/>
        </w:rPr>
        <w:t>。</w:t>
      </w:r>
      <w:r>
        <w:rPr>
          <w:rFonts w:hint="eastAsia" w:ascii="仿宋_GB2312" w:hAnsi="仿宋_GB2312" w:eastAsia="仿宋_GB2312" w:cs="仿宋_GB2312"/>
          <w:color w:val="auto"/>
          <w:kern w:val="0"/>
          <w:sz w:val="32"/>
          <w:szCs w:val="32"/>
          <w:u w:val="none"/>
          <w:shd w:val="clear" w:color="auto" w:fill="auto"/>
          <w:lang w:val="zh-CN" w:eastAsia="zh-CN" w:bidi="ar-SA"/>
        </w:rPr>
        <w:t>一般公共财政预算收入完成</w:t>
      </w:r>
      <w:r>
        <w:rPr>
          <w:rFonts w:hint="eastAsia" w:ascii="仿宋_GB2312" w:hAnsi="仿宋_GB2312" w:cs="仿宋_GB2312"/>
          <w:color w:val="auto"/>
          <w:kern w:val="0"/>
          <w:sz w:val="32"/>
          <w:szCs w:val="32"/>
          <w:u w:val="none"/>
          <w:shd w:val="clear" w:color="auto" w:fill="auto"/>
          <w:lang w:val="en-US" w:eastAsia="zh-CN" w:bidi="ar-SA"/>
        </w:rPr>
        <w:t>0.96</w:t>
      </w:r>
      <w:r>
        <w:rPr>
          <w:rFonts w:hint="eastAsia" w:ascii="仿宋_GB2312" w:hAnsi="仿宋_GB2312" w:eastAsia="仿宋_GB2312" w:cs="仿宋_GB2312"/>
          <w:color w:val="auto"/>
          <w:kern w:val="0"/>
          <w:sz w:val="32"/>
          <w:szCs w:val="32"/>
          <w:u w:val="none"/>
          <w:shd w:val="clear" w:color="auto" w:fill="auto"/>
          <w:lang w:val="zh-CN" w:eastAsia="zh-CN" w:bidi="ar-SA"/>
        </w:rPr>
        <w:t>亿元。城镇居民收入稳步提高，城乡居民人均可支配收入</w:t>
      </w:r>
      <w:r>
        <w:rPr>
          <w:rFonts w:hint="eastAsia" w:ascii="仿宋_GB2312" w:hAnsi="仿宋_GB2312" w:cs="仿宋_GB2312"/>
          <w:color w:val="auto"/>
          <w:kern w:val="0"/>
          <w:sz w:val="32"/>
          <w:szCs w:val="32"/>
          <w:u w:val="none"/>
          <w:shd w:val="clear" w:color="auto" w:fill="auto"/>
          <w:lang w:val="en-US" w:eastAsia="zh-CN" w:bidi="ar-SA"/>
        </w:rPr>
        <w:t>预计</w:t>
      </w:r>
      <w:r>
        <w:rPr>
          <w:rFonts w:hint="eastAsia" w:ascii="仿宋_GB2312" w:hAnsi="仿宋_GB2312" w:eastAsia="仿宋_GB2312" w:cs="仿宋_GB2312"/>
          <w:color w:val="auto"/>
          <w:kern w:val="0"/>
          <w:sz w:val="32"/>
          <w:szCs w:val="32"/>
          <w:u w:val="none"/>
          <w:shd w:val="clear" w:color="auto" w:fill="auto"/>
          <w:lang w:val="zh-CN" w:eastAsia="zh-CN" w:bidi="ar-SA"/>
        </w:rPr>
        <w:t>分别达到</w:t>
      </w:r>
      <w:r>
        <w:rPr>
          <w:rFonts w:hint="eastAsia" w:ascii="仿宋_GB2312" w:hAnsi="仿宋_GB2312" w:eastAsia="仿宋_GB2312" w:cs="仿宋_GB2312"/>
          <w:color w:val="000000"/>
          <w:sz w:val="32"/>
          <w:szCs w:val="32"/>
          <w:highlight w:val="none"/>
          <w:lang w:val="en-US" w:eastAsia="zh-CN"/>
        </w:rPr>
        <w:t>35775元、15273元，分别增长7%、8.9%。</w:t>
      </w:r>
      <w:r>
        <w:rPr>
          <w:rFonts w:hint="eastAsia" w:ascii="仿宋_GB2312" w:hAnsi="仿宋_GB2312" w:eastAsia="仿宋_GB2312" w:cs="仿宋_GB2312"/>
          <w:color w:val="000000"/>
          <w:sz w:val="32"/>
          <w:szCs w:val="32"/>
          <w:highlight w:val="none"/>
          <w:lang w:val="zh-CN" w:eastAsia="zh-CN"/>
        </w:rPr>
        <w:t>各金融部门精准有</w:t>
      </w:r>
      <w:r>
        <w:rPr>
          <w:rFonts w:hint="eastAsia" w:ascii="仿宋_GB2312" w:hAnsi="仿宋_GB2312" w:eastAsia="仿宋_GB2312" w:cs="仿宋_GB2312"/>
          <w:color w:val="auto"/>
          <w:kern w:val="0"/>
          <w:sz w:val="32"/>
          <w:szCs w:val="32"/>
          <w:u w:val="none"/>
          <w:shd w:val="clear" w:color="auto" w:fill="auto"/>
          <w:lang w:val="zh-CN" w:eastAsia="zh-CN" w:bidi="ar-SA"/>
        </w:rPr>
        <w:t>力实施稳健的货币政策，继续加强对全市</w:t>
      </w:r>
      <w:r>
        <w:rPr>
          <w:rFonts w:hint="eastAsia" w:ascii="仿宋_GB2312" w:hAnsi="仿宋_GB2312" w:cs="仿宋_GB2312"/>
          <w:color w:val="auto"/>
          <w:kern w:val="0"/>
          <w:sz w:val="32"/>
          <w:szCs w:val="32"/>
          <w:u w:val="none"/>
          <w:shd w:val="clear" w:color="auto" w:fill="auto"/>
          <w:lang w:val="zh-CN" w:eastAsia="zh-CN" w:bidi="ar-SA"/>
        </w:rPr>
        <w:t>经济社会</w:t>
      </w:r>
      <w:r>
        <w:rPr>
          <w:rFonts w:hint="eastAsia" w:ascii="仿宋_GB2312" w:hAnsi="仿宋_GB2312" w:eastAsia="仿宋_GB2312" w:cs="仿宋_GB2312"/>
          <w:color w:val="auto"/>
          <w:kern w:val="0"/>
          <w:sz w:val="32"/>
          <w:szCs w:val="32"/>
          <w:u w:val="none"/>
          <w:shd w:val="clear" w:color="auto" w:fill="auto"/>
          <w:lang w:val="zh-CN" w:eastAsia="zh-CN" w:bidi="ar-SA"/>
        </w:rPr>
        <w:t>发展的信贷支持力度。金融机构在政策导向下加强了对</w:t>
      </w:r>
      <w:r>
        <w:rPr>
          <w:rFonts w:hint="eastAsia" w:ascii="仿宋_GB2312" w:hAnsi="仿宋_GB2312" w:cs="仿宋_GB2312"/>
          <w:color w:val="auto"/>
          <w:kern w:val="0"/>
          <w:sz w:val="32"/>
          <w:szCs w:val="32"/>
          <w:u w:val="none"/>
          <w:shd w:val="clear" w:color="auto" w:fill="auto"/>
          <w:lang w:val="en-US" w:eastAsia="zh-CN" w:bidi="ar-SA"/>
        </w:rPr>
        <w:t>乡村振兴</w:t>
      </w:r>
      <w:r>
        <w:rPr>
          <w:rFonts w:hint="eastAsia" w:ascii="仿宋_GB2312" w:hAnsi="仿宋_GB2312" w:eastAsia="仿宋_GB2312" w:cs="仿宋_GB2312"/>
          <w:color w:val="auto"/>
          <w:kern w:val="0"/>
          <w:sz w:val="32"/>
          <w:szCs w:val="32"/>
          <w:u w:val="none"/>
          <w:shd w:val="clear" w:color="auto" w:fill="auto"/>
          <w:lang w:val="zh-CN" w:eastAsia="zh-CN" w:bidi="ar-SA"/>
        </w:rPr>
        <w:t>、基础设施建设、中小企业、农牧业产业化等领域的信贷资金支持。</w:t>
      </w:r>
    </w:p>
    <w:p>
      <w:pPr>
        <w:keepNext w:val="0"/>
        <w:keepLines w:val="0"/>
        <w:pageBreakBefore w:val="0"/>
        <w:kinsoku/>
        <w:wordWrap/>
        <w:overflowPunct/>
        <w:topLinePunct w:val="0"/>
        <w:bidi w:val="0"/>
        <w:snapToGrid/>
        <w:spacing w:line="560" w:lineRule="exact"/>
        <w:ind w:firstLine="643" w:firstLineChars="200"/>
        <w:jc w:val="both"/>
        <w:textAlignment w:val="auto"/>
        <w:outlineLvl w:val="1"/>
        <w:rPr>
          <w:rFonts w:ascii="楷体_GB2312" w:hAnsi="Arial" w:eastAsia="楷体_GB2312" w:cs="仿宋_GB2312"/>
          <w:b/>
          <w:bCs/>
          <w:color w:val="auto"/>
          <w:sz w:val="32"/>
          <w:szCs w:val="32"/>
          <w:lang w:val="zh-CN"/>
        </w:rPr>
      </w:pPr>
      <w:r>
        <w:rPr>
          <w:rFonts w:hint="eastAsia" w:ascii="楷体_GB2312" w:hAnsi="Arial" w:eastAsia="楷体_GB2312" w:cs="仿宋_GB2312"/>
          <w:b/>
          <w:bCs/>
          <w:color w:val="auto"/>
          <w:sz w:val="32"/>
          <w:szCs w:val="32"/>
          <w:lang w:val="zh-CN"/>
        </w:rPr>
        <w:t>（三）项目引领成效凸显，基础设施日益完善</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600" w:lineRule="exact"/>
        <w:ind w:left="0" w:lef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kern w:val="2"/>
          <w:sz w:val="32"/>
          <w:szCs w:val="32"/>
          <w:highlight w:val="none"/>
          <w:lang w:val="en-US" w:eastAsia="zh-CN" w:bidi="ar-SA"/>
        </w:rPr>
        <w:t>2022年，我市共向上争取各类专项转移支付资金17.52亿元，增长24.6%。招商引资到位资金22.2亿元。2022年我市实施重点项目62个，开复工率100%。全年固定资产投资预计完成15.98亿元，增速61.7%，完成全年任务的152.2%。投资需求进一步加大。重点推进了路网、口岸、城镇基础设施项目建设，城市功能</w:t>
      </w:r>
      <w:r>
        <w:rPr>
          <w:rFonts w:hint="eastAsia" w:ascii="仿宋_GB2312" w:hAnsi="仿宋_GB2312" w:eastAsia="仿宋_GB2312" w:cs="仿宋_GB2312"/>
          <w:color w:val="000000"/>
          <w:kern w:val="2"/>
          <w:sz w:val="32"/>
          <w:szCs w:val="32"/>
          <w:highlight w:val="none"/>
          <w:lang w:val="zh-CN" w:eastAsia="zh-CN" w:bidi="ar-SA"/>
        </w:rPr>
        <w:t>进一步完善。</w:t>
      </w:r>
      <w:r>
        <w:rPr>
          <w:rFonts w:hint="eastAsia" w:ascii="仿宋_GB2312" w:eastAsia="仿宋_GB2312"/>
          <w:b/>
          <w:color w:val="auto"/>
          <w:sz w:val="32"/>
          <w:szCs w:val="32"/>
          <w:shd w:val="clear" w:color="auto" w:fill="auto"/>
        </w:rPr>
        <w:t>公路方面</w:t>
      </w:r>
      <w:r>
        <w:rPr>
          <w:rFonts w:hint="eastAsia" w:ascii="仿宋_GB2312" w:hAnsi="宋体" w:eastAsia="仿宋_GB2312"/>
          <w:b/>
          <w:color w:val="auto"/>
          <w:sz w:val="32"/>
          <w:szCs w:val="32"/>
          <w:shd w:val="clear" w:color="auto" w:fill="auto"/>
        </w:rPr>
        <w:t>，</w:t>
      </w:r>
      <w:r>
        <w:rPr>
          <w:rFonts w:hint="eastAsia" w:ascii="Times New Roman" w:hAnsi="Times New Roman" w:eastAsia="仿宋_GB2312" w:cs="仿宋"/>
          <w:color w:val="auto"/>
          <w:kern w:val="0"/>
          <w:sz w:val="32"/>
          <w:szCs w:val="32"/>
          <w:highlight w:val="none"/>
          <w:lang w:val="en-US" w:eastAsia="zh-CN"/>
        </w:rPr>
        <w:t>阿尔山市边防防火路公路，完成投资</w:t>
      </w:r>
      <w:r>
        <w:rPr>
          <w:rFonts w:hint="eastAsia" w:ascii="仿宋_GB2312" w:hAnsi="仿宋_GB2312" w:eastAsia="仿宋_GB2312" w:cs="仿宋_GB2312"/>
          <w:color w:val="000000"/>
          <w:kern w:val="2"/>
          <w:sz w:val="32"/>
          <w:szCs w:val="32"/>
          <w:highlight w:val="none"/>
          <w:lang w:val="en-US" w:eastAsia="zh-CN" w:bidi="ar-SA"/>
        </w:rPr>
        <w:t>8400万元，路基工程已完成92公里，垫层完成50公里，桥涵工程完成40%；五岔沟至明水公路工程，完成投资5500万元，目前路基工程已全部完成，桥涵工程完成45%，面层完成10公里。</w:t>
      </w:r>
      <w:r>
        <w:rPr>
          <w:rFonts w:hint="eastAsia" w:ascii="仿宋_GB2312" w:hAnsi="宋体" w:eastAsia="仿宋_GB2312"/>
          <w:b/>
          <w:bCs/>
          <w:color w:val="auto"/>
          <w:spacing w:val="-4"/>
          <w:sz w:val="32"/>
          <w:szCs w:val="32"/>
          <w:shd w:val="clear" w:color="auto" w:fill="auto"/>
        </w:rPr>
        <w:t>铁路方面，</w:t>
      </w:r>
      <w:r>
        <w:rPr>
          <w:rFonts w:hint="eastAsia" w:ascii="Times New Roman" w:hAnsi="Times New Roman" w:eastAsia="仿宋_GB2312" w:cs="仿宋"/>
          <w:color w:val="auto"/>
          <w:kern w:val="0"/>
          <w:sz w:val="32"/>
          <w:szCs w:val="32"/>
          <w:highlight w:val="none"/>
          <w:lang w:val="en-US" w:eastAsia="zh-CN"/>
        </w:rPr>
        <w:t>白阿铁路乌兰浩特至阿尔山段扩能改造项目，完成可研批复。</w:t>
      </w:r>
      <w:r>
        <w:rPr>
          <w:rFonts w:hint="eastAsia" w:ascii="仿宋_GB2312" w:hAnsi="宋体" w:eastAsia="仿宋_GB2312"/>
          <w:b/>
          <w:bCs/>
          <w:color w:val="auto"/>
          <w:spacing w:val="-4"/>
          <w:sz w:val="32"/>
          <w:szCs w:val="32"/>
          <w:shd w:val="clear" w:color="auto" w:fill="auto"/>
          <w:lang w:eastAsia="zh-CN"/>
        </w:rPr>
        <w:t>航空方面，</w:t>
      </w:r>
      <w:r>
        <w:rPr>
          <w:rFonts w:hint="eastAsia" w:ascii="Times New Roman" w:hAnsi="Times New Roman" w:eastAsia="仿宋_GB2312" w:cs="仿宋"/>
          <w:color w:val="auto"/>
          <w:kern w:val="0"/>
          <w:sz w:val="32"/>
          <w:szCs w:val="32"/>
          <w:highlight w:val="none"/>
          <w:lang w:val="en-US" w:eastAsia="zh-CN"/>
        </w:rPr>
        <w:t>阿尔山机场改扩建工程，完成可研批复。</w:t>
      </w:r>
      <w:r>
        <w:rPr>
          <w:rFonts w:hint="eastAsia" w:ascii="仿宋_GB2312" w:hAnsi="仿宋_GB2312" w:eastAsia="仿宋_GB2312" w:cs="仿宋_GB2312"/>
          <w:b/>
          <w:color w:val="auto"/>
          <w:sz w:val="32"/>
          <w:szCs w:val="32"/>
          <w:shd w:val="clear" w:color="auto" w:fill="auto"/>
          <w:lang w:val="en-US" w:eastAsia="zh-CN"/>
        </w:rPr>
        <w:t>电网方面，</w:t>
      </w:r>
      <w:r>
        <w:rPr>
          <w:rFonts w:hint="eastAsia" w:ascii="Times New Roman" w:hAnsi="Times New Roman" w:eastAsia="仿宋_GB2312" w:cs="仿宋"/>
          <w:color w:val="auto"/>
          <w:kern w:val="0"/>
          <w:sz w:val="32"/>
          <w:szCs w:val="32"/>
          <w:highlight w:val="none"/>
          <w:lang w:val="en-US" w:eastAsia="zh-CN"/>
        </w:rPr>
        <w:t>改造完成</w:t>
      </w:r>
      <w:r>
        <w:rPr>
          <w:rFonts w:hint="eastAsia" w:ascii="仿宋_GB2312" w:hAnsi="仿宋_GB2312" w:eastAsia="仿宋_GB2312" w:cs="仿宋_GB2312"/>
          <w:color w:val="000000"/>
          <w:kern w:val="2"/>
          <w:sz w:val="32"/>
          <w:szCs w:val="32"/>
          <w:highlight w:val="none"/>
          <w:lang w:val="en-US" w:eastAsia="zh-CN" w:bidi="ar-SA"/>
        </w:rPr>
        <w:t>10千伏线路7.94千米、变压器安装8台、户表改造761户，完成投资1830万元。</w:t>
      </w:r>
      <w:r>
        <w:rPr>
          <w:rFonts w:hint="eastAsia" w:ascii="仿宋_GB2312" w:hAnsi="仿宋_GB2312" w:eastAsia="仿宋_GB2312" w:cs="仿宋_GB2312"/>
          <w:b/>
          <w:color w:val="auto"/>
          <w:sz w:val="32"/>
          <w:szCs w:val="32"/>
          <w:shd w:val="clear" w:color="auto" w:fill="auto"/>
        </w:rPr>
        <w:t>口岸方面，</w:t>
      </w:r>
      <w:r>
        <w:rPr>
          <w:rFonts w:hint="eastAsia" w:ascii="Times New Roman" w:hAnsi="Times New Roman" w:eastAsia="仿宋_GB2312" w:cs="仿宋"/>
          <w:color w:val="auto"/>
          <w:kern w:val="0"/>
          <w:sz w:val="32"/>
          <w:szCs w:val="32"/>
          <w:highlight w:val="none"/>
          <w:lang w:val="en-US" w:eastAsia="zh-CN"/>
        </w:rPr>
        <w:t>完成阿尔山零碳小镇（一期工程）、阿尔山市口岸防疫基础设施提升项目建设，中蒙阿尔山边民互市贸易区建设项目经阿尔山海关初验合格。</w:t>
      </w:r>
      <w:r>
        <w:rPr>
          <w:rFonts w:hint="eastAsia" w:ascii="仿宋_GB2312" w:hAnsi="仿宋_GB2312" w:eastAsia="仿宋_GB2312" w:cs="仿宋_GB2312"/>
          <w:b/>
          <w:bCs w:val="0"/>
          <w:color w:val="auto"/>
          <w:sz w:val="32"/>
          <w:szCs w:val="32"/>
          <w:shd w:val="clear" w:color="auto" w:fill="auto"/>
        </w:rPr>
        <w:t>城市建设方面，</w:t>
      </w:r>
      <w:r>
        <w:rPr>
          <w:rFonts w:hint="eastAsia" w:ascii="Times New Roman" w:hAnsi="Times New Roman" w:eastAsia="仿宋_GB2312" w:cs="仿宋"/>
          <w:color w:val="auto"/>
          <w:kern w:val="0"/>
          <w:sz w:val="32"/>
          <w:szCs w:val="32"/>
          <w:highlight w:val="none"/>
          <w:lang w:val="en-US" w:eastAsia="zh-CN"/>
        </w:rPr>
        <w:t>伊尔施集中供热、夜观景观改造、阿尔山市伊尔施街棚户区改造配套基础设施二期工程一标段等项目均已完工，圣泉广场改造提升项目、温泉街自来水管网改造工程、阿尔山市中心城市小区巷道连接工程、阿尔山市</w:t>
      </w:r>
      <w:r>
        <w:rPr>
          <w:rFonts w:hint="eastAsia" w:ascii="仿宋_GB2312" w:hAnsi="仿宋_GB2312" w:eastAsia="仿宋_GB2312" w:cs="仿宋_GB2312"/>
          <w:color w:val="000000"/>
          <w:kern w:val="2"/>
          <w:sz w:val="32"/>
          <w:szCs w:val="32"/>
          <w:highlight w:val="none"/>
          <w:lang w:val="en-US" w:eastAsia="zh-CN" w:bidi="ar-SA"/>
        </w:rPr>
        <w:t>2022年老旧</w:t>
      </w:r>
      <w:r>
        <w:rPr>
          <w:rFonts w:hint="eastAsia" w:ascii="Times New Roman" w:hAnsi="Times New Roman" w:eastAsia="仿宋_GB2312" w:cs="仿宋"/>
          <w:color w:val="auto"/>
          <w:kern w:val="0"/>
          <w:sz w:val="32"/>
          <w:szCs w:val="32"/>
          <w:highlight w:val="none"/>
          <w:lang w:val="en-US" w:eastAsia="zh-CN"/>
        </w:rPr>
        <w:t>小区改造主体建设工程等项目取得阶段性成果。</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627" w:firstLineChars="200"/>
        <w:jc w:val="both"/>
        <w:textAlignment w:val="auto"/>
        <w:outlineLvl w:val="1"/>
        <w:rPr>
          <w:rFonts w:hint="default" w:ascii="仿宋_GB2312" w:eastAsia="楷体_GB2312"/>
          <w:bCs/>
          <w:color w:val="auto"/>
          <w:sz w:val="32"/>
          <w:szCs w:val="32"/>
          <w:lang w:val="en-US" w:eastAsia="zh-CN"/>
        </w:rPr>
      </w:pPr>
      <w:r>
        <w:rPr>
          <w:rFonts w:hint="eastAsia" w:ascii="楷体_GB2312" w:hAnsi="楷体" w:eastAsia="楷体_GB2312" w:cs="宋体"/>
          <w:b/>
          <w:color w:val="auto"/>
          <w:spacing w:val="-4"/>
          <w:kern w:val="0"/>
          <w:sz w:val="32"/>
          <w:szCs w:val="32"/>
          <w:shd w:val="clear" w:color="auto" w:fill="auto"/>
        </w:rPr>
        <w:t>（</w:t>
      </w:r>
      <w:r>
        <w:rPr>
          <w:rFonts w:hint="eastAsia" w:ascii="楷体_GB2312" w:hAnsi="楷体" w:eastAsia="楷体_GB2312" w:cs="宋体"/>
          <w:b/>
          <w:color w:val="auto"/>
          <w:spacing w:val="-4"/>
          <w:kern w:val="0"/>
          <w:sz w:val="32"/>
          <w:szCs w:val="32"/>
          <w:shd w:val="clear" w:color="auto" w:fill="auto"/>
          <w:lang w:val="en-US" w:eastAsia="zh-CN"/>
        </w:rPr>
        <w:t>四</w:t>
      </w:r>
      <w:r>
        <w:rPr>
          <w:rFonts w:hint="eastAsia" w:ascii="楷体_GB2312" w:hAnsi="楷体" w:eastAsia="楷体_GB2312" w:cs="宋体"/>
          <w:b/>
          <w:color w:val="auto"/>
          <w:spacing w:val="-4"/>
          <w:kern w:val="0"/>
          <w:sz w:val="32"/>
          <w:szCs w:val="32"/>
          <w:shd w:val="clear" w:color="auto" w:fill="auto"/>
        </w:rPr>
        <w:t>）</w:t>
      </w:r>
      <w:r>
        <w:rPr>
          <w:rFonts w:hint="eastAsia" w:ascii="楷体_GB2312" w:hAnsi="楷体" w:eastAsia="楷体_GB2312" w:cs="宋体"/>
          <w:b/>
          <w:color w:val="auto"/>
          <w:spacing w:val="-4"/>
          <w:kern w:val="0"/>
          <w:sz w:val="32"/>
          <w:szCs w:val="32"/>
          <w:shd w:val="clear" w:color="auto" w:fill="auto"/>
          <w:lang w:val="en-US" w:eastAsia="zh-CN"/>
        </w:rPr>
        <w:t>政策落实精准高效，乡村振兴步履铿锵</w:t>
      </w:r>
    </w:p>
    <w:p>
      <w:pPr>
        <w:pStyle w:val="31"/>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bidi="ar-SA"/>
        </w:rPr>
      </w:pPr>
      <w:r>
        <w:rPr>
          <w:rFonts w:hint="eastAsia" w:ascii="Times New Roman" w:hAnsi="Times New Roman" w:eastAsia="仿宋_GB2312" w:cs="仿宋"/>
          <w:color w:val="auto"/>
          <w:kern w:val="0"/>
          <w:sz w:val="32"/>
          <w:szCs w:val="32"/>
          <w:highlight w:val="none"/>
          <w:lang w:val="en-US" w:eastAsia="zh-CN"/>
        </w:rPr>
        <w:t>持续巩固“两不愁、三保障”成果。继续落实金融扶贫、产业扶贫、光伏扶贫、后续产业、积分制管理、防贫保险等各项政策。制定了</w:t>
      </w:r>
      <w:r>
        <w:rPr>
          <w:rFonts w:hint="eastAsia" w:ascii="仿宋_GB2312" w:hAnsi="仿宋_GB2312" w:eastAsia="仿宋_GB2312" w:cs="仿宋_GB2312"/>
          <w:color w:val="000000"/>
          <w:kern w:val="2"/>
          <w:sz w:val="32"/>
          <w:szCs w:val="32"/>
          <w:highlight w:val="none"/>
          <w:lang w:val="en-US" w:eastAsia="zh-CN" w:bidi="ar-SA"/>
        </w:rPr>
        <w:t>《2022年全市乡村振兴重点工作任务分解表》，全面强化防返贫监测预警、京蒙协作、乡村建设、产业发展、人才培养等9个大项、84项</w:t>
      </w:r>
      <w:r>
        <w:rPr>
          <w:rFonts w:hint="eastAsia" w:ascii="Times New Roman" w:hAnsi="Times New Roman" w:eastAsia="仿宋_GB2312" w:cs="仿宋"/>
          <w:color w:val="auto"/>
          <w:kern w:val="0"/>
          <w:sz w:val="32"/>
          <w:szCs w:val="32"/>
          <w:highlight w:val="none"/>
          <w:lang w:val="en-US" w:eastAsia="zh-CN"/>
        </w:rPr>
        <w:t>具体</w:t>
      </w:r>
      <w:r>
        <w:rPr>
          <w:rFonts w:hint="eastAsia" w:ascii="仿宋_GB2312" w:hAnsi="仿宋_GB2312" w:eastAsia="仿宋_GB2312" w:cs="仿宋_GB2312"/>
          <w:color w:val="000000"/>
          <w:kern w:val="2"/>
          <w:sz w:val="32"/>
          <w:szCs w:val="32"/>
          <w:highlight w:val="none"/>
          <w:lang w:val="en-US" w:eastAsia="zh-CN" w:bidi="ar-SA"/>
        </w:rPr>
        <w:t>任务</w:t>
      </w:r>
      <w:r>
        <w:rPr>
          <w:rFonts w:hint="eastAsia" w:ascii="Times New Roman" w:hAnsi="Times New Roman" w:eastAsia="仿宋_GB2312" w:cs="仿宋"/>
          <w:color w:val="auto"/>
          <w:kern w:val="0"/>
          <w:sz w:val="32"/>
          <w:szCs w:val="32"/>
          <w:highlight w:val="none"/>
          <w:lang w:val="en-US" w:eastAsia="zh-CN"/>
        </w:rPr>
        <w:t>，有效推动工作落实、政策落实、责任落实。深入实施“四乡工程”，成功引进</w:t>
      </w:r>
      <w:r>
        <w:rPr>
          <w:rFonts w:hint="eastAsia" w:ascii="仿宋_GB2312" w:hAnsi="仿宋_GB2312" w:eastAsia="仿宋_GB2312" w:cs="仿宋_GB2312"/>
          <w:color w:val="000000"/>
          <w:kern w:val="2"/>
          <w:sz w:val="32"/>
          <w:szCs w:val="32"/>
          <w:highlight w:val="none"/>
          <w:lang w:val="en-US" w:eastAsia="zh-CN" w:bidi="ar-SA"/>
        </w:rPr>
        <w:t>7位能人返乡，实现市民到乡消费300万元、干部到乡解决问题642件、企业兴乡带动92人就业。2022年争取衔接资金和京蒙协作资金8727万元。其中使用中央及自治区衔接资金4672万元，实施项目10个，均已完工；使用京蒙协作资金4055万元，实施项目12个，完成实物工程量92%。</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27" w:firstLineChars="200"/>
        <w:jc w:val="both"/>
        <w:textAlignment w:val="auto"/>
        <w:outlineLvl w:val="1"/>
        <w:rPr>
          <w:rFonts w:hint="default" w:ascii="楷体_GB2312" w:hAnsi="楷体" w:eastAsia="楷体_GB2312" w:cs="宋体"/>
          <w:b/>
          <w:color w:val="auto"/>
          <w:spacing w:val="0"/>
          <w:kern w:val="0"/>
          <w:sz w:val="32"/>
          <w:szCs w:val="32"/>
          <w:shd w:val="clear" w:color="auto" w:fill="auto"/>
          <w:lang w:val="en-US" w:eastAsia="zh-CN" w:bidi="ar-SA"/>
        </w:rPr>
      </w:pPr>
      <w:r>
        <w:rPr>
          <w:rFonts w:hint="eastAsia" w:ascii="楷体_GB2312" w:hAnsi="楷体" w:eastAsia="楷体_GB2312" w:cs="宋体"/>
          <w:b/>
          <w:color w:val="auto"/>
          <w:spacing w:val="-4"/>
          <w:kern w:val="0"/>
          <w:sz w:val="32"/>
          <w:szCs w:val="32"/>
          <w:shd w:val="clear" w:color="auto" w:fill="auto"/>
          <w:lang w:val="en-US" w:eastAsia="zh-CN" w:bidi="ar-SA"/>
        </w:rPr>
        <w:t>（五）</w:t>
      </w:r>
      <w:r>
        <w:rPr>
          <w:rFonts w:hint="eastAsia" w:ascii="楷体_GB2312" w:hAnsi="楷体" w:eastAsia="楷体_GB2312" w:cs="宋体"/>
          <w:b/>
          <w:color w:val="auto"/>
          <w:spacing w:val="0"/>
          <w:kern w:val="0"/>
          <w:sz w:val="32"/>
          <w:szCs w:val="32"/>
          <w:shd w:val="clear" w:color="auto" w:fill="auto"/>
          <w:lang w:val="en-US" w:eastAsia="zh-CN" w:bidi="ar-SA"/>
        </w:rPr>
        <w:t>加强重大战略研究，</w:t>
      </w:r>
      <w:r>
        <w:rPr>
          <w:rFonts w:hint="eastAsia" w:ascii="楷体_GB2312" w:eastAsia="楷体_GB2312" w:cs="仿宋_GB2312"/>
          <w:b/>
          <w:bCs/>
          <w:color w:val="auto"/>
          <w:spacing w:val="-4"/>
          <w:kern w:val="2"/>
          <w:sz w:val="32"/>
          <w:szCs w:val="32"/>
          <w:lang w:val="en-US" w:eastAsia="zh-CN" w:bidi="ar-SA"/>
        </w:rPr>
        <w:t>深挖区位发展潜力</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27" w:firstLineChars="200"/>
        <w:jc w:val="both"/>
        <w:textAlignment w:val="auto"/>
        <w:rPr>
          <w:rFonts w:hint="default" w:ascii="仿宋_GB2312" w:hAnsi="Times New Roman" w:eastAsia="仿宋_GB2312" w:cs="Times New Roman"/>
          <w:color w:val="auto"/>
          <w:kern w:val="2"/>
          <w:sz w:val="32"/>
          <w:szCs w:val="32"/>
          <w:lang w:val="en-US" w:eastAsia="zh-CN" w:bidi="ar-SA"/>
        </w:rPr>
      </w:pPr>
      <w:r>
        <w:rPr>
          <w:rFonts w:hint="eastAsia" w:ascii="楷体_GB2312" w:eastAsia="楷体_GB2312" w:cs="仿宋_GB2312"/>
          <w:b/>
          <w:bCs/>
          <w:color w:val="auto"/>
          <w:spacing w:val="-4"/>
          <w:kern w:val="2"/>
          <w:sz w:val="32"/>
          <w:szCs w:val="32"/>
          <w:lang w:val="en-US" w:eastAsia="zh-CN" w:bidi="ar-SA"/>
        </w:rPr>
        <w:t>一是突出抓好兴边富民行动。</w:t>
      </w:r>
      <w:r>
        <w:rPr>
          <w:rFonts w:hint="eastAsia" w:ascii="仿宋_GB2312" w:hAnsi="仿宋_GB2312" w:eastAsia="仿宋_GB2312" w:cs="仿宋_GB2312"/>
          <w:color w:val="000000"/>
          <w:sz w:val="32"/>
          <w:szCs w:val="32"/>
          <w:highlight w:val="none"/>
          <w:lang w:val="en-US" w:eastAsia="zh-CN"/>
        </w:rPr>
        <w:t>完成了“兴边富民行动中心城镇建设试点”2021年绩效考核自评工作，达到优良等级。2022年度兴边富民中心镇行动方案顺利通过国家发改委评审，紧扣“一城引领，五区支撑”的发展思路，2022年“兴边富民行动中心城镇建设试点”项目获批10个，获批资金2.37亿元。</w:t>
      </w:r>
      <w:r>
        <w:rPr>
          <w:rFonts w:hint="eastAsia" w:ascii="楷体_GB2312" w:eastAsia="楷体_GB2312" w:cs="仿宋_GB2312"/>
          <w:b/>
          <w:bCs/>
          <w:color w:val="auto"/>
          <w:spacing w:val="-4"/>
          <w:kern w:val="2"/>
          <w:sz w:val="32"/>
          <w:szCs w:val="32"/>
          <w:lang w:val="en-US" w:eastAsia="zh-CN" w:bidi="ar-SA"/>
        </w:rPr>
        <w:t>二是聚焦产业链开展精准招商。</w:t>
      </w:r>
      <w:r>
        <w:rPr>
          <w:rFonts w:hint="eastAsia" w:ascii="仿宋_GB2312" w:hAnsi="仿宋_GB2312" w:eastAsia="仿宋_GB2312" w:cs="仿宋_GB2312"/>
          <w:color w:val="000000"/>
          <w:sz w:val="32"/>
          <w:szCs w:val="32"/>
          <w:highlight w:val="none"/>
          <w:lang w:val="en-US" w:eastAsia="zh-CN"/>
        </w:rPr>
        <w:t>先后赴全国各地考察招商引资工作，就国家级旅游度假区创建、文旅重点项目进行考察招商，</w:t>
      </w:r>
      <w:r>
        <w:rPr>
          <w:rFonts w:hint="default" w:ascii="仿宋_GB2312" w:hAnsi="仿宋_GB2312" w:eastAsia="仿宋_GB2312" w:cs="仿宋_GB2312"/>
          <w:color w:val="000000"/>
          <w:sz w:val="32"/>
          <w:szCs w:val="32"/>
          <w:highlight w:val="none"/>
          <w:lang w:val="en-US" w:eastAsia="zh-CN"/>
        </w:rPr>
        <w:t>对接</w:t>
      </w:r>
      <w:r>
        <w:rPr>
          <w:rFonts w:hint="eastAsia" w:ascii="仿宋_GB2312" w:hAnsi="仿宋_GB2312" w:eastAsia="仿宋_GB2312" w:cs="仿宋_GB2312"/>
          <w:color w:val="000000"/>
          <w:sz w:val="32"/>
          <w:szCs w:val="32"/>
          <w:highlight w:val="none"/>
          <w:lang w:val="en-US" w:eastAsia="zh-CN"/>
        </w:rPr>
        <w:t>130</w:t>
      </w:r>
      <w:r>
        <w:rPr>
          <w:rFonts w:hint="default" w:ascii="仿宋_GB2312" w:hAnsi="仿宋_GB2312" w:eastAsia="仿宋_GB2312" w:cs="仿宋_GB2312"/>
          <w:color w:val="000000"/>
          <w:sz w:val="32"/>
          <w:szCs w:val="32"/>
          <w:highlight w:val="none"/>
          <w:lang w:val="en-US" w:eastAsia="zh-CN"/>
        </w:rPr>
        <w:t>余家企业</w:t>
      </w:r>
      <w:r>
        <w:rPr>
          <w:rFonts w:hint="eastAsia" w:ascii="仿宋_GB2312" w:hAnsi="仿宋_GB2312" w:eastAsia="仿宋_GB2312" w:cs="仿宋_GB2312"/>
          <w:color w:val="000000"/>
          <w:sz w:val="32"/>
          <w:szCs w:val="32"/>
          <w:highlight w:val="none"/>
          <w:lang w:val="en-US" w:eastAsia="zh-CN"/>
        </w:rPr>
        <w:t>，与32</w:t>
      </w:r>
      <w:r>
        <w:rPr>
          <w:rFonts w:hint="default" w:ascii="仿宋_GB2312" w:hAnsi="仿宋_GB2312" w:eastAsia="仿宋_GB2312" w:cs="仿宋_GB2312"/>
          <w:color w:val="000000"/>
          <w:sz w:val="32"/>
          <w:szCs w:val="32"/>
          <w:highlight w:val="none"/>
          <w:lang w:val="en-US" w:eastAsia="zh-CN"/>
        </w:rPr>
        <w:t>家企业达成初步合作意向</w:t>
      </w:r>
      <w:r>
        <w:rPr>
          <w:rFonts w:hint="eastAsia" w:ascii="仿宋_GB2312" w:hAnsi="仿宋_GB2312" w:eastAsia="仿宋_GB2312" w:cs="仿宋_GB2312"/>
          <w:color w:val="000000"/>
          <w:sz w:val="32"/>
          <w:szCs w:val="32"/>
          <w:highlight w:val="none"/>
          <w:lang w:val="en-US" w:eastAsia="zh-CN"/>
        </w:rPr>
        <w:t>，已到位资金22.2亿元。</w:t>
      </w:r>
      <w:r>
        <w:rPr>
          <w:rFonts w:hint="eastAsia" w:ascii="楷体_GB2312" w:hAnsi="Times New Roman" w:eastAsia="楷体_GB2312" w:cs="仿宋_GB2312"/>
          <w:b/>
          <w:bCs/>
          <w:color w:val="auto"/>
          <w:spacing w:val="-4"/>
          <w:kern w:val="2"/>
          <w:sz w:val="32"/>
          <w:szCs w:val="32"/>
          <w:lang w:val="en-US" w:eastAsia="zh-CN" w:bidi="ar-SA"/>
        </w:rPr>
        <w:t>三是全力推进国家级旅游度假区创建工作。</w:t>
      </w:r>
      <w:r>
        <w:rPr>
          <w:rFonts w:hint="eastAsia" w:ascii="仿宋_GB2312" w:hAnsi="仿宋_GB2312" w:eastAsia="仿宋_GB2312" w:cs="仿宋_GB2312"/>
          <w:color w:val="000000"/>
          <w:sz w:val="32"/>
          <w:szCs w:val="32"/>
          <w:highlight w:val="none"/>
          <w:lang w:val="en-US" w:eastAsia="zh-CN"/>
        </w:rPr>
        <w:t>成立了创建工作领导小组，优化设立九个专项工作组，统筹推进项目建设、节庆赛事、规划编制等系列工作，完善条块清晰、分工合理的工作格局。精准实施32个重点项目，总投资13.25亿元，已开工项目26个，累计已完成投资4.04亿元。</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3" w:firstLineChars="200"/>
        <w:jc w:val="both"/>
        <w:textAlignment w:val="auto"/>
        <w:outlineLvl w:val="1"/>
        <w:rPr>
          <w:rFonts w:hint="default" w:ascii="楷体_GB2312" w:hAnsi="楷体" w:eastAsia="楷体_GB2312" w:cs="宋体"/>
          <w:b/>
          <w:color w:val="auto"/>
          <w:spacing w:val="-4"/>
          <w:kern w:val="0"/>
          <w:sz w:val="32"/>
          <w:szCs w:val="32"/>
          <w:shd w:val="clear" w:color="auto" w:fill="auto"/>
          <w:lang w:val="en-US" w:eastAsia="zh-CN" w:bidi="ar-SA"/>
        </w:rPr>
      </w:pPr>
      <w:r>
        <w:rPr>
          <w:rFonts w:hint="eastAsia" w:ascii="楷体_GB2312" w:hAnsi="楷体" w:eastAsia="楷体_GB2312" w:cs="宋体"/>
          <w:b/>
          <w:color w:val="auto"/>
          <w:spacing w:val="0"/>
          <w:kern w:val="0"/>
          <w:sz w:val="32"/>
          <w:szCs w:val="32"/>
          <w:shd w:val="clear" w:color="auto" w:fill="auto"/>
          <w:lang w:val="zh-CN" w:eastAsia="zh-CN" w:bidi="ar-SA"/>
        </w:rPr>
        <w:t>（</w:t>
      </w:r>
      <w:r>
        <w:rPr>
          <w:rFonts w:hint="eastAsia" w:ascii="楷体_GB2312" w:hAnsi="楷体" w:eastAsia="楷体_GB2312" w:cs="宋体"/>
          <w:b/>
          <w:color w:val="auto"/>
          <w:spacing w:val="0"/>
          <w:kern w:val="0"/>
          <w:sz w:val="32"/>
          <w:szCs w:val="32"/>
          <w:shd w:val="clear" w:color="auto" w:fill="auto"/>
          <w:lang w:val="en-US" w:eastAsia="zh-CN" w:bidi="ar-SA"/>
        </w:rPr>
        <w:t>六</w:t>
      </w:r>
      <w:r>
        <w:rPr>
          <w:rFonts w:hint="eastAsia" w:ascii="楷体_GB2312" w:hAnsi="楷体" w:eastAsia="楷体_GB2312" w:cs="宋体"/>
          <w:b/>
          <w:color w:val="auto"/>
          <w:spacing w:val="0"/>
          <w:kern w:val="0"/>
          <w:sz w:val="32"/>
          <w:szCs w:val="32"/>
          <w:shd w:val="clear" w:color="auto" w:fill="auto"/>
          <w:lang w:val="zh-CN" w:eastAsia="zh-CN" w:bidi="ar-SA"/>
        </w:rPr>
        <w:t>）</w:t>
      </w:r>
      <w:r>
        <w:rPr>
          <w:rFonts w:hint="eastAsia" w:ascii="楷体_GB2312" w:hAnsi="楷体" w:eastAsia="楷体_GB2312" w:cs="宋体"/>
          <w:b/>
          <w:color w:val="auto"/>
          <w:spacing w:val="0"/>
          <w:kern w:val="0"/>
          <w:sz w:val="32"/>
          <w:szCs w:val="32"/>
          <w:shd w:val="clear" w:color="auto" w:fill="auto"/>
          <w:lang w:val="en-US" w:eastAsia="zh-CN" w:bidi="ar-SA"/>
        </w:rPr>
        <w:t>服务升级笃行不怠，营商环境常抓不懈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6"/>
          <w:szCs w:val="36"/>
          <w:lang w:val="en-US" w:eastAsia="zh-CN"/>
        </w:rPr>
      </w:pPr>
      <w:r>
        <w:rPr>
          <w:rFonts w:hint="eastAsia" w:ascii="仿宋_GB2312" w:hAnsi="仿宋_GB2312" w:eastAsia="仿宋_GB2312" w:cs="仿宋_GB2312"/>
          <w:color w:val="000000"/>
          <w:sz w:val="32"/>
          <w:szCs w:val="32"/>
          <w:highlight w:val="none"/>
          <w:lang w:val="en-US" w:eastAsia="zh-CN"/>
        </w:rPr>
        <w:t>全面贯彻落实全区优化营商环境大会精神，聚力打造办事有速度，服务有温度的标准化规范化政务服务模式。加强政务平台建设，减时间达90.7%，即办件达83.2%，网上可办率100%，全程网办率96.2%。“好差评”满意率100%。开展“双随机、一公开”抽查检查50批次，公示率100%，涉及抽查领域、抽查事项全覆盖。推进“蒙企通”平台建设及运行，累计注册市场主体2040户，诉求解决率100%，企业满意率100%。</w:t>
      </w:r>
      <w:r>
        <w:rPr>
          <w:rFonts w:hint="eastAsia" w:cs="仿宋"/>
          <w:color w:val="auto"/>
          <w:kern w:val="0"/>
          <w:sz w:val="32"/>
          <w:szCs w:val="32"/>
          <w:highlight w:val="none"/>
          <w:lang w:val="en-US" w:eastAsia="zh-CN"/>
        </w:rPr>
        <w:t>先后印发了《阿尔山市打造最优营商环境工作方案》、拟定了《阿尔山市党政机关干部定向服务市场主体实施方案》、《阿尔山市落实〈兴安盟营商环境第三方评估发现问题〉整改实施方案》，均已完成年度目标，切实提高了营商环境建设的系统性、整体性、协同性。</w:t>
      </w:r>
    </w:p>
    <w:p>
      <w:pPr>
        <w:keepNext w:val="0"/>
        <w:keepLines w:val="0"/>
        <w:pageBreakBefore w:val="0"/>
        <w:numPr>
          <w:ilvl w:val="0"/>
          <w:numId w:val="2"/>
        </w:numPr>
        <w:kinsoku/>
        <w:wordWrap/>
        <w:overflowPunct/>
        <w:topLinePunct w:val="0"/>
        <w:bidi w:val="0"/>
        <w:snapToGrid/>
        <w:spacing w:line="560" w:lineRule="exact"/>
        <w:ind w:firstLine="643" w:firstLineChars="200"/>
        <w:jc w:val="both"/>
        <w:textAlignment w:val="auto"/>
        <w:outlineLvl w:val="1"/>
        <w:rPr>
          <w:rFonts w:hint="eastAsia" w:ascii="楷体_GB2312" w:hAnsi="楷体_GB2312" w:eastAsia="楷体_GB2312" w:cs="楷体_GB2312"/>
          <w:b/>
          <w:bCs/>
          <w:color w:val="auto"/>
          <w:spacing w:val="-4"/>
          <w:sz w:val="32"/>
          <w:szCs w:val="32"/>
          <w:lang w:val="en-US" w:eastAsia="zh-CN"/>
        </w:rPr>
      </w:pPr>
      <w:r>
        <w:rPr>
          <w:rFonts w:hint="eastAsia" w:ascii="楷体_GB2312" w:hAnsi="楷体" w:eastAsia="楷体_GB2312" w:cs="宋体"/>
          <w:b/>
          <w:color w:val="auto"/>
          <w:kern w:val="0"/>
          <w:sz w:val="32"/>
          <w:szCs w:val="32"/>
          <w:shd w:val="clear" w:color="auto" w:fill="auto"/>
          <w:lang w:val="en-US" w:eastAsia="zh-CN"/>
        </w:rPr>
        <w:t>高扬</w:t>
      </w:r>
      <w:r>
        <w:rPr>
          <w:rFonts w:hint="eastAsia" w:ascii="楷体_GB2312" w:eastAsia="楷体_GB2312" w:cs="仿宋_GB2312"/>
          <w:b/>
          <w:bCs/>
          <w:color w:val="auto"/>
          <w:spacing w:val="-4"/>
          <w:sz w:val="32"/>
          <w:szCs w:val="32"/>
          <w:lang w:val="en-US" w:eastAsia="zh-CN"/>
        </w:rPr>
        <w:t>生态文明旗帜，筑牢祖国北方安全屏障</w:t>
      </w:r>
    </w:p>
    <w:p>
      <w:pPr>
        <w:pStyle w:val="17"/>
        <w:numPr>
          <w:ilvl w:val="0"/>
          <w:numId w:val="0"/>
        </w:numPr>
        <w:ind w:firstLine="640" w:firstLineChars="200"/>
        <w:rPr>
          <w:rFonts w:hint="eastAsia" w:eastAsia="仿宋_GB2312"/>
          <w:color w:val="auto"/>
          <w:lang w:val="en-US" w:eastAsia="zh-CN"/>
        </w:rPr>
      </w:pPr>
      <w:r>
        <w:rPr>
          <w:rFonts w:hint="eastAsia" w:ascii="仿宋_GB2312" w:hAnsi="仿宋_GB2312" w:eastAsia="仿宋_GB2312" w:cs="仿宋_GB2312"/>
          <w:color w:val="000000"/>
          <w:kern w:val="2"/>
          <w:sz w:val="32"/>
          <w:szCs w:val="32"/>
          <w:highlight w:val="none"/>
          <w:lang w:val="en-US" w:eastAsia="zh-CN" w:bidi="ar-SA"/>
        </w:rPr>
        <w:t>坚持“生态优先 绿色发展”的理念，把阿尔山市建成祖国北方重要的生态安全屏障、国家安全稳定屏障。完成公益林管护21.3万亩、天然商品林管护8.1万亩、封山育林4万亩、退化林修复1万亩、人工造林0.1万亩；2022年，我市成为国家18个林业碳汇试点市之一，列入全区首批区域节能评估试点；积极开展资源枯竭城市转型工作，争取到中央和自治区转移支付资金8192万元；逐步开展国家生态文明建设示范市复核验收准备工作；成功堵截4.19蒙古国边境火；成立阿尔山口岸开关工作领导小组，分别针对“三道防线”建设验收标准进行开关防疫标准建设，完成方案制度预案共计85个、图例图表流程图32个、台账登记表格27个及其他软件材料，阿尔山市口岸防疫基础设施提升项目当年完工，同时完成了阿尔山口岸推进向北开放工作方案的编制与修订。</w:t>
      </w:r>
    </w:p>
    <w:p>
      <w:pPr>
        <w:keepNext w:val="0"/>
        <w:keepLines w:val="0"/>
        <w:pageBreakBefore w:val="0"/>
        <w:numPr>
          <w:ilvl w:val="0"/>
          <w:numId w:val="0"/>
        </w:numPr>
        <w:kinsoku/>
        <w:wordWrap/>
        <w:overflowPunct/>
        <w:topLinePunct w:val="0"/>
        <w:bidi w:val="0"/>
        <w:snapToGrid/>
        <w:spacing w:line="560" w:lineRule="exact"/>
        <w:ind w:firstLine="643" w:firstLineChars="200"/>
        <w:jc w:val="both"/>
        <w:textAlignment w:val="auto"/>
        <w:outlineLvl w:val="1"/>
        <w:rPr>
          <w:rFonts w:hint="default" w:ascii="楷体_GB2312" w:eastAsia="楷体_GB2312" w:cs="仿宋_GB2312"/>
          <w:b/>
          <w:bCs/>
          <w:color w:val="auto"/>
          <w:sz w:val="32"/>
          <w:szCs w:val="32"/>
          <w:lang w:val="en-US" w:eastAsia="zh-CN"/>
        </w:rPr>
      </w:pPr>
      <w:r>
        <w:rPr>
          <w:rFonts w:hint="eastAsia" w:ascii="楷体_GB2312" w:eastAsia="楷体_GB2312" w:cs="仿宋_GB2312"/>
          <w:b/>
          <w:bCs/>
          <w:color w:val="auto"/>
          <w:sz w:val="32"/>
          <w:szCs w:val="32"/>
          <w:lang w:val="zh-CN"/>
        </w:rPr>
        <w:t>（</w:t>
      </w:r>
      <w:r>
        <w:rPr>
          <w:rFonts w:hint="eastAsia" w:ascii="楷体_GB2312" w:eastAsia="楷体_GB2312" w:cs="仿宋_GB2312"/>
          <w:b/>
          <w:bCs/>
          <w:color w:val="auto"/>
          <w:sz w:val="32"/>
          <w:szCs w:val="32"/>
          <w:lang w:val="en-US" w:eastAsia="zh-CN"/>
        </w:rPr>
        <w:t>八</w:t>
      </w:r>
      <w:r>
        <w:rPr>
          <w:rFonts w:hint="eastAsia" w:ascii="楷体_GB2312" w:eastAsia="楷体_GB2312" w:cs="仿宋_GB2312"/>
          <w:b/>
          <w:bCs/>
          <w:color w:val="auto"/>
          <w:sz w:val="32"/>
          <w:szCs w:val="32"/>
          <w:lang w:val="zh-CN"/>
        </w:rPr>
        <w:t>）</w:t>
      </w:r>
      <w:r>
        <w:rPr>
          <w:rFonts w:hint="eastAsia" w:ascii="楷体_GB2312" w:eastAsia="楷体_GB2312" w:cs="仿宋_GB2312"/>
          <w:b/>
          <w:bCs/>
          <w:color w:val="auto"/>
          <w:sz w:val="32"/>
          <w:szCs w:val="32"/>
          <w:lang w:val="en-US" w:eastAsia="zh-CN"/>
        </w:rPr>
        <w:t>社会事业全面发展，民生福祉不断增进</w:t>
      </w:r>
    </w:p>
    <w:p>
      <w:pPr>
        <w:keepNext w:val="0"/>
        <w:keepLines w:val="0"/>
        <w:pageBreakBefore w:val="0"/>
        <w:kinsoku/>
        <w:wordWrap/>
        <w:overflowPunct/>
        <w:topLinePunct w:val="0"/>
        <w:autoSpaceDE/>
        <w:autoSpaceDN/>
        <w:bidi w:val="0"/>
        <w:snapToGrid/>
        <w:spacing w:line="560" w:lineRule="exact"/>
        <w:ind w:firstLine="640" w:firstLineChars="200"/>
        <w:jc w:val="both"/>
        <w:textAlignment w:val="auto"/>
        <w:rPr>
          <w:rStyle w:val="29"/>
          <w:rFonts w:hint="eastAsia" w:ascii="仿宋_GB2312" w:hAnsi="仿宋_GB2312" w:eastAsia="仿宋_GB2312" w:cs="Times New Roman"/>
          <w:b w:val="0"/>
          <w:bCs w:val="0"/>
          <w:color w:val="auto"/>
          <w:sz w:val="32"/>
          <w:szCs w:val="32"/>
          <w:highlight w:val="none"/>
          <w:lang w:val="en-US" w:eastAsia="zh-CN"/>
        </w:rPr>
      </w:pPr>
      <w:r>
        <w:rPr>
          <w:rFonts w:hint="eastAsia" w:cs="仿宋"/>
          <w:color w:val="auto"/>
          <w:kern w:val="0"/>
          <w:sz w:val="32"/>
          <w:szCs w:val="32"/>
          <w:highlight w:val="none"/>
          <w:lang w:val="en-US" w:eastAsia="zh-CN"/>
        </w:rPr>
        <w:t>积极推进医疗、卫生、教育、文化等社会事业健康发展。顺利通过自治区级卫生城镇复审工作，市人民医院传染病房、阿尔山市医疗基础设施改造等项目进展顺利，新冠肺炎疫情防控等公共卫生工作成效显著。多措并举推进“五项管理”，积极落实“五育并举”巩固“清零达标”成果。我市成功获批自治区“互联网+教育”示范区。开展了下乡文艺辅</w:t>
      </w:r>
      <w:r>
        <w:rPr>
          <w:rFonts w:hint="eastAsia" w:ascii="仿宋_GB2312" w:hAnsi="仿宋_GB2312" w:eastAsia="仿宋_GB2312" w:cs="仿宋_GB2312"/>
          <w:color w:val="000000"/>
          <w:sz w:val="32"/>
          <w:szCs w:val="32"/>
          <w:highlight w:val="none"/>
          <w:lang w:val="en-US" w:eastAsia="zh-CN"/>
        </w:rPr>
        <w:t>导10次、文艺演出38场，圣水节、哈伦·阿尔山疗法成功获批自治区级非物质文化遗产代表性项目。截至12月，我市在享低保1118户1484人累计发放低保金1233万元。全市养老保险参保40391人，其中城镇职工基本养老保险参保20420人；参加机关事业养老保险人数3563人；城乡居民养老保险参保6473人；工伤保险参保9935人，城镇新增就业人数837人，城镇失业人员再就业人数311人</w:t>
      </w:r>
      <w:r>
        <w:rPr>
          <w:rFonts w:hint="eastAsia" w:cs="仿宋"/>
          <w:color w:val="auto"/>
          <w:kern w:val="0"/>
          <w:sz w:val="32"/>
          <w:szCs w:val="32"/>
          <w:highlight w:val="none"/>
          <w:lang w:val="en-US" w:eastAsia="zh-CN"/>
        </w:rPr>
        <w:t>，</w:t>
      </w:r>
      <w:r>
        <w:rPr>
          <w:rFonts w:hint="eastAsia" w:ascii="仿宋_GB2312" w:hAnsi="仿宋_GB2312" w:eastAsia="仿宋_GB2312" w:cs="仿宋_GB2312"/>
          <w:color w:val="000000"/>
          <w:sz w:val="32"/>
          <w:szCs w:val="32"/>
          <w:highlight w:val="none"/>
          <w:lang w:val="en-US" w:eastAsia="zh-CN"/>
        </w:rPr>
        <w:t>城镇登记失业率控制在4%以内</w:t>
      </w:r>
      <w:r>
        <w:rPr>
          <w:rFonts w:hint="eastAsia" w:cs="仿宋"/>
          <w:color w:val="auto"/>
          <w:kern w:val="0"/>
          <w:sz w:val="32"/>
          <w:szCs w:val="32"/>
          <w:highlight w:val="none"/>
          <w:lang w:val="en-US" w:eastAsia="zh-CN"/>
        </w:rPr>
        <w:t>，全市就业形势保持稳定。</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cs="Times New Roman"/>
          <w:color w:val="auto"/>
          <w:kern w:val="2"/>
          <w:sz w:val="32"/>
          <w:szCs w:val="32"/>
          <w:shd w:val="clear" w:color="auto" w:fill="auto"/>
          <w:lang w:val="en-US" w:eastAsia="zh-CN" w:bidi="ar-SA"/>
        </w:rPr>
      </w:pPr>
      <w:r>
        <w:rPr>
          <w:rFonts w:hint="eastAsia" w:ascii="Times New Roman" w:hAnsi="Times New Roman" w:eastAsia="仿宋_GB2312" w:cs="仿宋"/>
          <w:color w:val="auto"/>
          <w:kern w:val="0"/>
          <w:sz w:val="32"/>
          <w:szCs w:val="32"/>
          <w:highlight w:val="none"/>
          <w:lang w:val="en-US" w:eastAsia="zh-CN"/>
        </w:rPr>
        <w:t>总体来看，随着稳经济一揽子政策、政策性开发性金融工具等一系列举措逐渐显效，以及接续措施的快速落实，国民经济保持恢复发展态势，主要指标出现积极变化。但也要看到，外部不稳定不确定因素明显增加，国内疫情影响还没有完全消除，需求收缩与供给冲击交织，结构性矛盾和周期性问题叠加，经济持续恢复基础仍需继续巩固。对此，需要我们强化问题导向，采取有力措施，认真加以解决。</w:t>
      </w:r>
    </w:p>
    <w:p>
      <w:pPr>
        <w:keepNext w:val="0"/>
        <w:keepLines w:val="0"/>
        <w:pageBreakBefore w:val="0"/>
        <w:kinsoku/>
        <w:wordWrap/>
        <w:overflowPunct/>
        <w:topLinePunct w:val="0"/>
        <w:bidi w:val="0"/>
        <w:spacing w:line="560" w:lineRule="exact"/>
        <w:ind w:firstLine="624" w:firstLineChars="200"/>
        <w:jc w:val="both"/>
        <w:textAlignment w:val="auto"/>
        <w:outlineLvl w:val="0"/>
        <w:rPr>
          <w:rFonts w:ascii="黑体" w:eastAsia="黑体" w:cs="黑体"/>
          <w:bCs/>
          <w:spacing w:val="-23"/>
          <w:kern w:val="0"/>
          <w:sz w:val="32"/>
          <w:szCs w:val="32"/>
          <w:lang w:val="zh-CN"/>
        </w:rPr>
      </w:pPr>
      <w:r>
        <w:rPr>
          <w:rFonts w:hint="eastAsia" w:ascii="黑体" w:eastAsia="黑体" w:cs="黑体"/>
          <w:spacing w:val="-4"/>
          <w:kern w:val="0"/>
          <w:sz w:val="32"/>
          <w:szCs w:val="32"/>
          <w:lang w:val="en-US" w:eastAsia="zh-CN"/>
        </w:rPr>
        <w:t>三</w:t>
      </w:r>
      <w:r>
        <w:rPr>
          <w:rFonts w:hint="eastAsia" w:ascii="黑体" w:eastAsia="黑体" w:cs="黑体"/>
          <w:spacing w:val="-4"/>
          <w:kern w:val="0"/>
          <w:sz w:val="32"/>
          <w:szCs w:val="32"/>
          <w:lang w:val="zh-CN"/>
        </w:rPr>
        <w:t>、</w:t>
      </w:r>
      <w:r>
        <w:rPr>
          <w:rFonts w:hint="eastAsia" w:ascii="黑体" w:eastAsia="黑体" w:cs="黑体"/>
          <w:bCs/>
          <w:spacing w:val="-23"/>
          <w:kern w:val="0"/>
          <w:sz w:val="32"/>
          <w:szCs w:val="32"/>
        </w:rPr>
        <w:t>202</w:t>
      </w:r>
      <w:r>
        <w:rPr>
          <w:rFonts w:hint="eastAsia" w:ascii="黑体" w:eastAsia="黑体" w:cs="黑体"/>
          <w:bCs/>
          <w:spacing w:val="-23"/>
          <w:kern w:val="0"/>
          <w:sz w:val="32"/>
          <w:szCs w:val="32"/>
          <w:lang w:val="en-US" w:eastAsia="zh-CN"/>
        </w:rPr>
        <w:t>3</w:t>
      </w:r>
      <w:r>
        <w:rPr>
          <w:rFonts w:hint="eastAsia" w:ascii="黑体" w:eastAsia="黑体" w:cs="黑体"/>
          <w:bCs/>
          <w:spacing w:val="-23"/>
          <w:kern w:val="0"/>
          <w:sz w:val="32"/>
          <w:szCs w:val="32"/>
          <w:lang w:val="zh-CN"/>
        </w:rPr>
        <w:t>年国民经济和社会发展调控目标、主要任务和安排</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仿宋_GB2312"/>
          <w:color w:val="auto"/>
          <w:spacing w:val="0"/>
          <w:sz w:val="32"/>
          <w:szCs w:val="32"/>
          <w:highlight w:val="none"/>
          <w:lang w:eastAsia="zh-CN"/>
        </w:rPr>
      </w:pPr>
      <w:r>
        <w:rPr>
          <w:rFonts w:hint="eastAsia" w:ascii="仿宋_GB2312" w:hAnsi="仿宋_GB2312" w:eastAsia="仿宋_GB2312" w:cs="仿宋_GB2312"/>
          <w:color w:val="auto"/>
          <w:sz w:val="32"/>
          <w:szCs w:val="32"/>
          <w:highlight w:val="none"/>
        </w:rPr>
        <w:t>按照市委、市政府工作的总体要求，202</w:t>
      </w:r>
      <w:r>
        <w:rPr>
          <w:rFonts w:hint="eastAsia" w:ascii="仿宋_GB2312"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年全市经济社会发展总体思路是：</w:t>
      </w:r>
      <w:r>
        <w:rPr>
          <w:rFonts w:hint="eastAsia" w:ascii="黑体" w:hAnsi="黑体" w:eastAsia="黑体"/>
          <w:sz w:val="32"/>
          <w:szCs w:val="32"/>
        </w:rPr>
        <w:t>坚持以习近平新时代中国特色社会主义思想为指导，深入贯彻党的二十大精神，全面落实习近平总书记对内蒙古重要讲话重要指示批示精神，全力抓好习近平总书记交办的五大任务，按照“12135”旅游高质量发展思路，立足“一城引领、五区支撑”发展方向，完成国家级旅游度假区创建首要目标，筑牢我国北方重要生态安全屏障、祖国北疆安全稳定屏障，全面打造向北开放桥头堡，奋力谱写阿尔山新时代高质量发展新篇章。</w:t>
      </w:r>
    </w:p>
    <w:p>
      <w:pPr>
        <w:widowControl/>
        <w:spacing w:line="560" w:lineRule="exact"/>
        <w:ind w:firstLine="643" w:firstLineChars="20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sz w:val="32"/>
          <w:szCs w:val="32"/>
          <w:highlight w:val="none"/>
        </w:rPr>
        <w:t>今年发展的主要预期目标是</w:t>
      </w:r>
      <w:r>
        <w:rPr>
          <w:rFonts w:hint="eastAsia" w:ascii="仿宋_GB2312" w:eastAsia="仿宋_GB2312"/>
          <w:color w:val="auto"/>
          <w:sz w:val="32"/>
          <w:szCs w:val="32"/>
          <w:highlight w:val="none"/>
        </w:rPr>
        <w:t>：</w:t>
      </w:r>
      <w:r>
        <w:rPr>
          <w:rFonts w:hint="eastAsia" w:ascii="仿宋_GB2312" w:eastAsia="仿宋_GB2312"/>
          <w:sz w:val="32"/>
          <w:szCs w:val="32"/>
        </w:rPr>
        <w:t>地区生产总值增长</w:t>
      </w:r>
      <w:r>
        <w:rPr>
          <w:rFonts w:ascii="仿宋_GB2312" w:eastAsia="仿宋_GB2312"/>
          <w:sz w:val="32"/>
          <w:szCs w:val="32"/>
        </w:rPr>
        <w:t>6</w:t>
      </w:r>
      <w:r>
        <w:rPr>
          <w:rFonts w:hint="eastAsia" w:ascii="仿宋_GB2312" w:eastAsia="仿宋_GB2312"/>
          <w:sz w:val="32"/>
          <w:szCs w:val="32"/>
        </w:rPr>
        <w:t>%左右，在实际工作中争取更好成绩，规上工业增加值增长</w:t>
      </w:r>
      <w:r>
        <w:rPr>
          <w:rFonts w:ascii="仿宋_GB2312" w:eastAsia="仿宋_GB2312"/>
          <w:sz w:val="32"/>
          <w:szCs w:val="32"/>
        </w:rPr>
        <w:t>1</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左右</w:t>
      </w:r>
      <w:r>
        <w:rPr>
          <w:rFonts w:hint="eastAsia" w:ascii="仿宋_GB2312" w:eastAsia="仿宋_GB2312"/>
          <w:sz w:val="32"/>
          <w:szCs w:val="32"/>
        </w:rPr>
        <w:t>，固定资产投资增长</w:t>
      </w:r>
      <w:r>
        <w:rPr>
          <w:rFonts w:hint="eastAsia" w:ascii="仿宋_GB2312" w:eastAsia="仿宋_GB2312"/>
          <w:sz w:val="32"/>
          <w:szCs w:val="32"/>
          <w:lang w:val="en-US" w:eastAsia="zh-CN"/>
        </w:rPr>
        <w:t>20</w:t>
      </w:r>
      <w:r>
        <w:rPr>
          <w:rFonts w:hint="eastAsia" w:ascii="仿宋_GB2312" w:eastAsia="仿宋_GB2312"/>
          <w:sz w:val="32"/>
          <w:szCs w:val="32"/>
        </w:rPr>
        <w:t>%以上，一般公共预算收入增长5%左右</w:t>
      </w:r>
      <w:r>
        <w:rPr>
          <w:rFonts w:hint="eastAsia" w:ascii="仿宋_GB2312" w:eastAsia="仿宋_GB2312"/>
          <w:sz w:val="32"/>
          <w:szCs w:val="32"/>
          <w:lang w:eastAsia="zh-CN"/>
        </w:rPr>
        <w:t>，</w:t>
      </w:r>
      <w:r>
        <w:rPr>
          <w:rFonts w:hint="eastAsia" w:ascii="仿宋_GB2312" w:eastAsia="仿宋_GB2312"/>
          <w:sz w:val="32"/>
          <w:szCs w:val="32"/>
        </w:rPr>
        <w:t>社会消费品零售总额增长</w:t>
      </w:r>
      <w:r>
        <w:rPr>
          <w:rFonts w:hint="eastAsia" w:ascii="仿宋_GB2312" w:eastAsia="仿宋_GB2312"/>
          <w:sz w:val="32"/>
          <w:szCs w:val="32"/>
          <w:lang w:val="en-US" w:eastAsia="zh-CN"/>
        </w:rPr>
        <w:t>4</w:t>
      </w:r>
      <w:r>
        <w:rPr>
          <w:rFonts w:ascii="仿宋_GB2312" w:eastAsia="仿宋_GB2312"/>
          <w:sz w:val="32"/>
          <w:szCs w:val="32"/>
        </w:rPr>
        <w:t>.5</w:t>
      </w:r>
      <w:r>
        <w:rPr>
          <w:rFonts w:hint="eastAsia" w:ascii="仿宋_GB2312" w:eastAsia="仿宋_GB2312"/>
          <w:sz w:val="32"/>
          <w:szCs w:val="32"/>
        </w:rPr>
        <w:t>%</w:t>
      </w:r>
      <w:r>
        <w:rPr>
          <w:rFonts w:hint="eastAsia" w:ascii="仿宋_GB2312" w:eastAsia="仿宋_GB2312"/>
          <w:sz w:val="32"/>
          <w:szCs w:val="32"/>
          <w:lang w:val="en-US" w:eastAsia="zh-CN"/>
        </w:rPr>
        <w:t>左右</w:t>
      </w:r>
      <w:r>
        <w:rPr>
          <w:rFonts w:hint="eastAsia" w:ascii="仿宋_GB2312" w:eastAsia="仿宋_GB2312"/>
          <w:sz w:val="32"/>
          <w:szCs w:val="32"/>
        </w:rPr>
        <w:t>，居民消费价格涨幅</w:t>
      </w:r>
      <w:r>
        <w:rPr>
          <w:rFonts w:ascii="仿宋_GB2312" w:eastAsia="仿宋_GB2312"/>
          <w:sz w:val="32"/>
          <w:szCs w:val="32"/>
        </w:rPr>
        <w:t>3</w:t>
      </w:r>
      <w:r>
        <w:rPr>
          <w:rFonts w:hint="eastAsia" w:ascii="仿宋_GB2312" w:eastAsia="仿宋_GB2312"/>
          <w:sz w:val="32"/>
          <w:szCs w:val="32"/>
        </w:rPr>
        <w:t>%左右，城乡居民人均可支配收入增长与经济增长基本同步，城镇登记失业率控制在4%以内。单位生产总值能耗强度和污染物减排指标按照上级确定目标执行。</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zh-CN" w:eastAsia="zh-CN" w:bidi="ar-SA"/>
        </w:rPr>
      </w:pPr>
      <w:r>
        <w:rPr>
          <w:rFonts w:hint="eastAsia" w:ascii="仿宋_GB2312" w:hAnsi="仿宋_GB2312" w:eastAsia="仿宋_GB2312" w:cs="仿宋_GB2312"/>
          <w:b w:val="0"/>
          <w:bCs w:val="0"/>
          <w:color w:val="auto"/>
          <w:kern w:val="2"/>
          <w:sz w:val="32"/>
          <w:szCs w:val="32"/>
          <w:highlight w:val="none"/>
          <w:lang w:val="zh-CN" w:eastAsia="zh-CN" w:bidi="ar-SA"/>
        </w:rPr>
        <w:t>围绕实现上述目标，重点做好以下工作：</w:t>
      </w:r>
    </w:p>
    <w:p>
      <w:pPr>
        <w:keepNext w:val="0"/>
        <w:keepLines w:val="0"/>
        <w:pageBreakBefore w:val="0"/>
        <w:kinsoku/>
        <w:wordWrap/>
        <w:overflowPunct/>
        <w:topLinePunct w:val="0"/>
        <w:autoSpaceDE/>
        <w:autoSpaceDN/>
        <w:bidi w:val="0"/>
        <w:adjustRightInd/>
        <w:snapToGrid/>
        <w:spacing w:line="580" w:lineRule="exact"/>
        <w:ind w:firstLine="627" w:firstLineChars="200"/>
        <w:jc w:val="both"/>
        <w:textAlignment w:val="auto"/>
        <w:rPr>
          <w:rFonts w:hint="eastAsia" w:ascii="楷体_GB2312" w:hAnsi="Times New Roman" w:eastAsia="楷体_GB2312" w:cs="仿宋_GB2312"/>
          <w:b/>
          <w:bCs/>
          <w:color w:val="auto"/>
          <w:spacing w:val="-17"/>
          <w:w w:val="100"/>
          <w:sz w:val="32"/>
          <w:szCs w:val="32"/>
          <w:highlight w:val="none"/>
          <w:lang w:val="zh-CN"/>
        </w:rPr>
      </w:pPr>
      <w:r>
        <w:rPr>
          <w:rFonts w:hint="eastAsia" w:ascii="楷体_GB2312" w:hAnsi="Times New Roman" w:eastAsia="楷体_GB2312" w:cs="仿宋_GB2312"/>
          <w:b/>
          <w:bCs/>
          <w:color w:val="auto"/>
          <w:spacing w:val="-4"/>
          <w:sz w:val="32"/>
          <w:szCs w:val="32"/>
          <w:highlight w:val="none"/>
          <w:lang w:val="zh-CN"/>
        </w:rPr>
        <w:t>（一）</w:t>
      </w:r>
      <w:r>
        <w:rPr>
          <w:rFonts w:hint="eastAsia" w:ascii="楷体_GB2312" w:hAnsi="楷体_GB2312" w:eastAsia="楷体_GB2312" w:cs="楷体_GB2312"/>
          <w:b/>
          <w:bCs/>
          <w:color w:val="auto"/>
          <w:sz w:val="32"/>
          <w:szCs w:val="32"/>
          <w:highlight w:val="none"/>
          <w:lang w:val="zh-CN" w:eastAsia="zh-CN"/>
        </w:rPr>
        <w:t>加</w:t>
      </w:r>
      <w:r>
        <w:rPr>
          <w:rFonts w:hint="eastAsia" w:ascii="楷体_GB2312" w:hAnsi="楷体_GB2312" w:eastAsia="楷体_GB2312" w:cs="楷体_GB2312"/>
          <w:b/>
          <w:bCs/>
          <w:color w:val="auto"/>
          <w:sz w:val="32"/>
          <w:szCs w:val="32"/>
          <w:highlight w:val="none"/>
          <w:lang w:val="en-US" w:eastAsia="zh-CN"/>
        </w:rPr>
        <w:t>快</w:t>
      </w:r>
      <w:r>
        <w:rPr>
          <w:rFonts w:hint="eastAsia" w:ascii="楷体_GB2312" w:hAnsi="楷体_GB2312" w:eastAsia="楷体_GB2312" w:cs="楷体_GB2312"/>
          <w:b/>
          <w:bCs/>
          <w:color w:val="auto"/>
          <w:sz w:val="32"/>
          <w:szCs w:val="32"/>
          <w:highlight w:val="none"/>
          <w:lang w:val="zh-CN" w:eastAsia="zh-CN"/>
        </w:rPr>
        <w:t>产业发展步伐</w:t>
      </w:r>
      <w:r>
        <w:rPr>
          <w:rFonts w:hint="eastAsia" w:ascii="楷体_GB2312" w:hAnsi="Times New Roman" w:eastAsia="楷体_GB2312" w:cs="仿宋_GB2312"/>
          <w:b/>
          <w:bCs/>
          <w:color w:val="auto"/>
          <w:spacing w:val="-17"/>
          <w:w w:val="100"/>
          <w:sz w:val="32"/>
          <w:szCs w:val="32"/>
          <w:highlight w:val="none"/>
          <w:lang w:val="zh-CN"/>
        </w:rPr>
        <w:t>，</w:t>
      </w:r>
      <w:r>
        <w:rPr>
          <w:rFonts w:hint="eastAsia" w:ascii="楷体_GB2312" w:hAnsi="楷体_GB2312" w:eastAsia="楷体_GB2312" w:cs="楷体_GB2312"/>
          <w:b/>
          <w:bCs/>
          <w:color w:val="auto"/>
          <w:sz w:val="32"/>
          <w:szCs w:val="32"/>
          <w:highlight w:val="none"/>
          <w:lang w:val="en-US" w:eastAsia="zh-CN"/>
        </w:rPr>
        <w:t>壮大特色产业优势</w:t>
      </w:r>
    </w:p>
    <w:p>
      <w:pPr>
        <w:keepNext w:val="0"/>
        <w:keepLines w:val="0"/>
        <w:pageBreakBefore w:val="0"/>
        <w:widowControl/>
        <w:suppressLineNumbers w:val="0"/>
        <w:kinsoku/>
        <w:wordWrap/>
        <w:overflowPunct/>
        <w:topLinePunct w:val="0"/>
        <w:bidi w:val="0"/>
        <w:spacing w:line="560" w:lineRule="exact"/>
        <w:ind w:firstLine="643" w:firstLineChars="200"/>
        <w:jc w:val="both"/>
        <w:rPr>
          <w:rFonts w:hint="eastAsia" w:ascii="仿宋" w:hAnsi="仿宋" w:eastAsia="仿宋" w:cs="仿宋"/>
          <w:b w:val="0"/>
          <w:bCs w:val="0"/>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1.</w:t>
      </w:r>
      <w:r>
        <w:rPr>
          <w:rFonts w:hint="eastAsia" w:ascii="仿宋_GB2312" w:hAnsi="仿宋_GB2312" w:cs="仿宋_GB2312"/>
          <w:b/>
          <w:bCs/>
          <w:color w:val="auto"/>
          <w:kern w:val="2"/>
          <w:sz w:val="32"/>
          <w:szCs w:val="32"/>
          <w:highlight w:val="none"/>
          <w:lang w:val="en-US" w:eastAsia="zh-CN" w:bidi="ar-SA"/>
        </w:rPr>
        <w:t>第一产业方面</w:t>
      </w:r>
      <w:r>
        <w:rPr>
          <w:rFonts w:hint="eastAsia" w:ascii="仿宋_GB2312" w:hAnsi="仿宋_GB2312" w:eastAsia="仿宋_GB2312" w:cs="仿宋_GB2312"/>
          <w:b/>
          <w:bCs/>
          <w:color w:val="auto"/>
          <w:kern w:val="2"/>
          <w:sz w:val="32"/>
          <w:szCs w:val="32"/>
          <w:highlight w:val="none"/>
          <w:lang w:val="en-US" w:eastAsia="zh-CN" w:bidi="ar-SA"/>
        </w:rPr>
        <w:t>。</w:t>
      </w:r>
      <w:r>
        <w:rPr>
          <w:rFonts w:hint="eastAsia" w:cs="仿宋"/>
          <w:color w:val="auto"/>
          <w:kern w:val="0"/>
          <w:sz w:val="32"/>
          <w:szCs w:val="32"/>
          <w:highlight w:val="none"/>
          <w:lang w:val="en-US" w:eastAsia="zh-CN"/>
        </w:rPr>
        <w:t>做好农牧业常规工作、确保涉农资金、补贴、项目落实到位。高效建设</w:t>
      </w:r>
      <w:r>
        <w:rPr>
          <w:rFonts w:hint="eastAsia" w:ascii="仿宋_GB2312" w:hAnsi="仿宋_GB2312" w:eastAsia="仿宋_GB2312" w:cs="仿宋_GB2312"/>
          <w:color w:val="auto"/>
          <w:sz w:val="32"/>
          <w:szCs w:val="32"/>
          <w:highlight w:val="none"/>
          <w:lang w:val="en-US" w:eastAsia="zh-CN"/>
        </w:rPr>
        <w:t>1万</w:t>
      </w:r>
      <w:r>
        <w:rPr>
          <w:rFonts w:hint="eastAsia" w:cs="仿宋"/>
          <w:color w:val="auto"/>
          <w:kern w:val="0"/>
          <w:sz w:val="32"/>
          <w:szCs w:val="32"/>
          <w:highlight w:val="none"/>
          <w:lang w:val="en-US" w:eastAsia="zh-CN"/>
        </w:rPr>
        <w:t>亩苜蓿草基地、</w:t>
      </w:r>
      <w:r>
        <w:rPr>
          <w:rFonts w:hint="eastAsia" w:ascii="仿宋_GB2312" w:hAnsi="仿宋_GB2312" w:eastAsia="仿宋_GB2312" w:cs="仿宋_GB2312"/>
          <w:color w:val="auto"/>
          <w:sz w:val="32"/>
          <w:szCs w:val="32"/>
          <w:highlight w:val="none"/>
          <w:lang w:val="en-US" w:eastAsia="zh-CN"/>
        </w:rPr>
        <w:t>3万</w:t>
      </w:r>
      <w:r>
        <w:rPr>
          <w:rFonts w:hint="eastAsia" w:cs="仿宋"/>
          <w:color w:val="auto"/>
          <w:kern w:val="0"/>
          <w:sz w:val="32"/>
          <w:szCs w:val="32"/>
          <w:highlight w:val="none"/>
          <w:lang w:val="en-US" w:eastAsia="zh-CN"/>
        </w:rPr>
        <w:t>亩中草药基地、</w:t>
      </w:r>
      <w:r>
        <w:rPr>
          <w:rFonts w:hint="eastAsia" w:ascii="仿宋_GB2312" w:hAnsi="仿宋_GB2312" w:eastAsia="仿宋_GB2312" w:cs="仿宋_GB2312"/>
          <w:color w:val="auto"/>
          <w:sz w:val="32"/>
          <w:szCs w:val="32"/>
          <w:highlight w:val="none"/>
          <w:lang w:val="en-US" w:eastAsia="zh-CN"/>
        </w:rPr>
        <w:t>15</w:t>
      </w:r>
      <w:r>
        <w:rPr>
          <w:rFonts w:hint="eastAsia" w:cs="仿宋"/>
          <w:color w:val="auto"/>
          <w:kern w:val="0"/>
          <w:sz w:val="32"/>
          <w:szCs w:val="32"/>
          <w:highlight w:val="none"/>
          <w:lang w:val="en-US" w:eastAsia="zh-CN"/>
        </w:rPr>
        <w:t>万亩优质大豆基地。重点培育梅花鹿、野猪等特色养殖，加强农产品产销冷链物流通道网络建设。加快农业田间管理数字化，推动“互联网+”服务覆盖，实现灾害监测预警信息共享。实施农牧业产品品牌战略，提高绿色品牌意识，推进原产地标识，争取中草药种植、加工产业一体化实施，打造道地中草药品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color w:val="auto"/>
          <w:sz w:val="32"/>
          <w:szCs w:val="32"/>
          <w:highlight w:val="none"/>
          <w:lang w:val="en-US" w:eastAsia="zh-CN"/>
        </w:rPr>
        <w:t>2.</w:t>
      </w:r>
      <w:r>
        <w:rPr>
          <w:rFonts w:hint="eastAsia" w:ascii="仿宋_GB2312" w:hAnsi="仿宋_GB2312" w:cs="仿宋_GB2312"/>
          <w:b/>
          <w:color w:val="auto"/>
          <w:sz w:val="32"/>
          <w:szCs w:val="32"/>
          <w:highlight w:val="none"/>
          <w:lang w:val="en-US" w:eastAsia="zh-CN"/>
        </w:rPr>
        <w:t>第二产业方面</w:t>
      </w:r>
      <w:r>
        <w:rPr>
          <w:rFonts w:hint="eastAsia" w:ascii="仿宋_GB2312" w:hAnsi="仿宋_GB2312" w:eastAsia="仿宋_GB2312" w:cs="仿宋_GB2312"/>
          <w:b/>
          <w:color w:val="auto"/>
          <w:sz w:val="32"/>
          <w:szCs w:val="32"/>
          <w:highlight w:val="none"/>
          <w:lang w:val="en-US" w:eastAsia="zh-CN"/>
        </w:rPr>
        <w:t>。</w:t>
      </w:r>
      <w:r>
        <w:rPr>
          <w:rFonts w:hint="eastAsia" w:cs="仿宋"/>
          <w:color w:val="auto"/>
          <w:kern w:val="0"/>
          <w:sz w:val="32"/>
          <w:szCs w:val="32"/>
          <w:highlight w:val="none"/>
          <w:lang w:val="en-US" w:eastAsia="zh-CN"/>
        </w:rPr>
        <w:t>继续推动优质品牌战略，将“阿尔山矿泉”、“伊刻活泉”等优质品牌，通过鼓励企业参加国内外展销会方式推广出去，进一步提高企业品牌知名度，拓宽企业销售渠道。推动谋划蓝海矿泉水厂重组盘活项目、白狼太阳谷矿泉水厂项目、阿尔山市</w:t>
      </w:r>
      <w:r>
        <w:rPr>
          <w:rFonts w:hint="eastAsia" w:ascii="仿宋_GB2312" w:hAnsi="仿宋_GB2312" w:eastAsia="仿宋_GB2312" w:cs="仿宋_GB2312"/>
          <w:color w:val="auto"/>
          <w:sz w:val="32"/>
          <w:szCs w:val="32"/>
          <w:highlight w:val="none"/>
          <w:lang w:val="en-US" w:eastAsia="zh-CN"/>
        </w:rPr>
        <w:t>30万</w:t>
      </w:r>
      <w:r>
        <w:rPr>
          <w:rFonts w:hint="eastAsia" w:cs="仿宋"/>
          <w:color w:val="auto"/>
          <w:kern w:val="0"/>
          <w:sz w:val="32"/>
          <w:szCs w:val="32"/>
          <w:highlight w:val="none"/>
          <w:lang w:val="en-US" w:eastAsia="zh-CN"/>
        </w:rPr>
        <w:t>吨矿泉水产量提升项目。加强对工业企业服务能力建设，助推其从传统优势产业向价值链高端发展，提升企业整体素质和核心竞争力。</w:t>
      </w:r>
    </w:p>
    <w:p>
      <w:pPr>
        <w:keepNext w:val="0"/>
        <w:keepLines w:val="0"/>
        <w:pageBreakBefore w:val="0"/>
        <w:widowControl/>
        <w:suppressLineNumbers w:val="0"/>
        <w:kinsoku/>
        <w:wordWrap/>
        <w:overflowPunct/>
        <w:topLinePunct w:val="0"/>
        <w:bidi w:val="0"/>
        <w:spacing w:line="560" w:lineRule="exact"/>
        <w:ind w:firstLine="643" w:firstLineChars="200"/>
        <w:jc w:val="both"/>
        <w:rPr>
          <w:rFonts w:hint="default" w:ascii="仿宋_GB2312" w:hAnsi="仿宋_GB2312" w:eastAsia="仿宋_GB2312" w:cs="仿宋_GB2312"/>
          <w:b/>
          <w:bCs/>
          <w:color w:val="auto"/>
          <w:sz w:val="36"/>
          <w:szCs w:val="36"/>
          <w:highlight w:val="none"/>
          <w:lang w:val="en-US" w:eastAsia="zh-CN"/>
        </w:rPr>
      </w:pP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cs="仿宋_GB2312"/>
          <w:b/>
          <w:bCs/>
          <w:color w:val="auto"/>
          <w:sz w:val="32"/>
          <w:szCs w:val="32"/>
          <w:highlight w:val="none"/>
          <w:lang w:val="en-US" w:eastAsia="zh-CN"/>
        </w:rPr>
        <w:t>第三产业方面</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cs="仿宋_GB2312"/>
          <w:b/>
          <w:bCs/>
          <w:color w:val="auto"/>
          <w:sz w:val="32"/>
          <w:szCs w:val="32"/>
          <w:highlight w:val="none"/>
          <w:lang w:val="en-US" w:eastAsia="zh-CN"/>
        </w:rPr>
        <w:t>继续完善规划体系</w:t>
      </w:r>
      <w:r>
        <w:rPr>
          <w:rFonts w:hint="eastAsia" w:ascii="宋体" w:hAnsi="宋体"/>
          <w:b/>
          <w:color w:val="auto"/>
          <w:sz w:val="32"/>
          <w:szCs w:val="32"/>
          <w:highlight w:val="none"/>
        </w:rPr>
        <w:t>。</w:t>
      </w:r>
      <w:r>
        <w:rPr>
          <w:rFonts w:hint="eastAsia" w:cs="仿宋"/>
          <w:color w:val="auto"/>
          <w:kern w:val="0"/>
          <w:sz w:val="32"/>
          <w:szCs w:val="32"/>
          <w:highlight w:val="none"/>
          <w:lang w:val="en-US" w:eastAsia="zh-CN"/>
        </w:rPr>
        <w:t>完成《阿尔山市旅游总体规划（</w:t>
      </w:r>
      <w:r>
        <w:rPr>
          <w:rFonts w:hint="eastAsia" w:ascii="仿宋_GB2312" w:hAnsi="仿宋_GB2312" w:eastAsia="仿宋_GB2312" w:cs="仿宋_GB2312"/>
          <w:color w:val="auto"/>
          <w:sz w:val="32"/>
          <w:szCs w:val="32"/>
          <w:highlight w:val="none"/>
          <w:lang w:val="en-US" w:eastAsia="zh-CN"/>
        </w:rPr>
        <w:t>2022-2035年</w:t>
      </w:r>
      <w:r>
        <w:rPr>
          <w:rFonts w:hint="eastAsia" w:cs="仿宋"/>
          <w:color w:val="auto"/>
          <w:kern w:val="0"/>
          <w:sz w:val="32"/>
          <w:szCs w:val="32"/>
          <w:highlight w:val="none"/>
          <w:lang w:val="en-US" w:eastAsia="zh-CN"/>
        </w:rPr>
        <w:t>）》、《阿尔山市全域旅游发展规划》《阿尔山国家级旅游度假区总体规划</w:t>
      </w:r>
      <w:r>
        <w:rPr>
          <w:rFonts w:hint="eastAsia" w:ascii="仿宋_GB2312" w:hAnsi="仿宋_GB2312" w:eastAsia="仿宋_GB2312" w:cs="仿宋_GB2312"/>
          <w:color w:val="auto"/>
          <w:sz w:val="32"/>
          <w:szCs w:val="32"/>
          <w:highlight w:val="none"/>
          <w:lang w:val="en-US" w:eastAsia="zh-CN"/>
        </w:rPr>
        <w:t>（2022-2030）</w:t>
      </w:r>
      <w:r>
        <w:rPr>
          <w:rFonts w:hint="eastAsia" w:cs="仿宋"/>
          <w:color w:val="auto"/>
          <w:kern w:val="0"/>
          <w:sz w:val="32"/>
          <w:szCs w:val="32"/>
          <w:highlight w:val="none"/>
          <w:lang w:val="en-US" w:eastAsia="zh-CN"/>
        </w:rPr>
        <w:t>》编制工作，坚持“一张蓝图”绘到底</w:t>
      </w:r>
      <w:r>
        <w:rPr>
          <w:rFonts w:hint="eastAsia" w:ascii="仿宋_GB2312" w:hAnsi="华文仿宋" w:eastAsia="仿宋_GB2312"/>
          <w:bCs/>
          <w:color w:val="auto"/>
          <w:kern w:val="0"/>
          <w:sz w:val="32"/>
          <w:szCs w:val="32"/>
          <w:highlight w:val="none"/>
        </w:rPr>
        <w:t>。</w:t>
      </w:r>
      <w:r>
        <w:rPr>
          <w:rFonts w:hint="eastAsia" w:ascii="仿宋_GB2312" w:hAnsi="华文仿宋" w:eastAsia="仿宋_GB2312"/>
          <w:b/>
          <w:bCs/>
          <w:color w:val="auto"/>
          <w:kern w:val="0"/>
          <w:sz w:val="32"/>
          <w:szCs w:val="32"/>
          <w:highlight w:val="none"/>
          <w:lang w:val="en-US" w:eastAsia="zh-CN"/>
        </w:rPr>
        <w:t>加快项目建设。</w:t>
      </w:r>
      <w:r>
        <w:rPr>
          <w:rFonts w:hint="eastAsia" w:cs="仿宋"/>
          <w:color w:val="auto"/>
          <w:kern w:val="0"/>
          <w:sz w:val="32"/>
          <w:szCs w:val="32"/>
          <w:highlight w:val="none"/>
          <w:lang w:val="en-US" w:eastAsia="zh-CN"/>
        </w:rPr>
        <w:t>推动旅游集散中心、全域导览标识、全域旅游智慧、森林浴道滑索项目、温泉雪城体育公园等项目建设。</w:t>
      </w:r>
      <w:r>
        <w:rPr>
          <w:rFonts w:hint="eastAsia" w:ascii="仿宋_GB2312" w:hAnsi="仿宋_GB2312" w:cs="仿宋_GB2312"/>
          <w:color w:val="auto"/>
          <w:sz w:val="32"/>
          <w:szCs w:val="32"/>
          <w:highlight w:val="none"/>
          <w:lang w:val="en-US" w:eastAsia="zh-CN"/>
        </w:rPr>
        <w:t>增强</w:t>
      </w:r>
      <w:r>
        <w:rPr>
          <w:rFonts w:hint="eastAsia" w:ascii="楷体_GB2312" w:hAnsi="楷体_GB2312" w:eastAsia="楷体_GB2312" w:cs="楷体_GB2312"/>
          <w:b/>
          <w:color w:val="auto"/>
          <w:kern w:val="0"/>
          <w:sz w:val="32"/>
          <w:szCs w:val="32"/>
          <w:highlight w:val="none"/>
        </w:rPr>
        <w:t>品牌创建力度。</w:t>
      </w:r>
      <w:r>
        <w:rPr>
          <w:rFonts w:hint="eastAsia" w:cs="仿宋"/>
          <w:color w:val="auto"/>
          <w:kern w:val="0"/>
          <w:sz w:val="32"/>
          <w:szCs w:val="32"/>
          <w:highlight w:val="none"/>
          <w:lang w:val="en-US" w:eastAsia="zh-CN"/>
        </w:rPr>
        <w:t>坚决完成国家级旅游度假区创建工作，推进国家全域旅游示范区、全国公共文化服务和旅游发展示范县创建工作，推进白狼林俗度假区、明水河镇西口村</w:t>
      </w:r>
      <w:r>
        <w:rPr>
          <w:rFonts w:hint="eastAsia" w:ascii="仿宋_GB2312" w:hAnsi="仿宋_GB2312" w:eastAsia="仿宋_GB2312" w:cs="仿宋_GB2312"/>
          <w:color w:val="auto"/>
          <w:sz w:val="32"/>
          <w:szCs w:val="32"/>
          <w:highlight w:val="none"/>
          <w:lang w:val="en-US" w:eastAsia="zh-CN"/>
        </w:rPr>
        <w:t>“2A”</w:t>
      </w:r>
      <w:r>
        <w:rPr>
          <w:rFonts w:hint="eastAsia" w:cs="仿宋"/>
          <w:color w:val="auto"/>
          <w:kern w:val="0"/>
          <w:sz w:val="32"/>
          <w:szCs w:val="32"/>
          <w:highlight w:val="none"/>
          <w:lang w:val="en-US" w:eastAsia="zh-CN"/>
        </w:rPr>
        <w:t>景区申报工作，继续推动“六大景区”提质升级。</w:t>
      </w:r>
      <w:r>
        <w:rPr>
          <w:rFonts w:hint="eastAsia" w:ascii="仿宋_GB2312" w:hAnsi="仿宋_GB2312" w:cs="仿宋_GB2312"/>
          <w:b/>
          <w:bCs/>
          <w:color w:val="auto"/>
          <w:sz w:val="32"/>
          <w:szCs w:val="32"/>
          <w:highlight w:val="none"/>
          <w:lang w:val="en-US" w:eastAsia="zh-CN"/>
        </w:rPr>
        <w:t>强化旅游营销推广</w:t>
      </w:r>
      <w:r>
        <w:rPr>
          <w:rFonts w:hint="eastAsia" w:ascii="仿宋_GB2312" w:hAnsi="华文仿宋" w:eastAsia="仿宋_GB2312"/>
          <w:b/>
          <w:bCs/>
          <w:color w:val="auto"/>
          <w:kern w:val="0"/>
          <w:sz w:val="32"/>
          <w:szCs w:val="32"/>
          <w:highlight w:val="none"/>
          <w:lang w:val="en-US" w:eastAsia="zh-CN"/>
        </w:rPr>
        <w:t>。</w:t>
      </w:r>
      <w:r>
        <w:rPr>
          <w:rFonts w:hint="eastAsia" w:cs="仿宋"/>
          <w:color w:val="auto"/>
          <w:kern w:val="0"/>
          <w:sz w:val="32"/>
          <w:szCs w:val="32"/>
          <w:highlight w:val="none"/>
          <w:lang w:val="en-US" w:eastAsia="zh-CN"/>
        </w:rPr>
        <w:t>持续办好杜鹃节、圣水节、音乐节、冰雪节等传统节庆活动，创新制定各领域活动赛事计划，加大对有影响力的赛事活动的引进。创新思路，整合资源，依托“实体+网络+文创+品牌”四位一体旅游营销模式，用好微信、微博、抖音、快手等线上载体，优化宣传营销内容，提高群众关注度，拓展南方旅游市场，推动发展“旅游+”新业态，做大做强“巍巍大兴安·梦幻阿尔山，火山温泉乡·运动康养地”旅游品牌。</w:t>
      </w:r>
    </w:p>
    <w:p>
      <w:pPr>
        <w:keepNext w:val="0"/>
        <w:keepLines w:val="0"/>
        <w:pageBreakBefore w:val="0"/>
        <w:kinsoku/>
        <w:wordWrap/>
        <w:overflowPunct/>
        <w:topLinePunct w:val="0"/>
        <w:bidi w:val="0"/>
        <w:spacing w:line="560" w:lineRule="exact"/>
        <w:ind w:firstLine="643" w:firstLineChars="200"/>
        <w:jc w:val="both"/>
        <w:textAlignment w:val="auto"/>
        <w:outlineLvl w:val="1"/>
        <w:rPr>
          <w:rFonts w:ascii="楷体_GB2312" w:eastAsia="楷体_GB2312" w:cs="仿宋_GB2312"/>
          <w:b/>
          <w:bCs/>
          <w:color w:val="auto"/>
          <w:spacing w:val="-17"/>
          <w:w w:val="100"/>
          <w:sz w:val="32"/>
          <w:szCs w:val="32"/>
          <w:highlight w:val="none"/>
          <w:lang w:val="zh-CN"/>
        </w:rPr>
      </w:pPr>
      <w:r>
        <w:rPr>
          <w:rFonts w:hint="eastAsia" w:ascii="楷体_GB2312" w:hAnsi="黑体" w:eastAsia="楷体_GB2312" w:cs="Times New Roman"/>
          <w:b/>
          <w:color w:val="auto"/>
          <w:sz w:val="32"/>
          <w:szCs w:val="32"/>
          <w:highlight w:val="none"/>
          <w:lang w:val="zh-CN" w:eastAsia="zh-CN"/>
        </w:rPr>
        <w:t>（二</w:t>
      </w:r>
      <w:r>
        <w:rPr>
          <w:rFonts w:hint="eastAsia" w:ascii="楷体_GB2312" w:eastAsia="楷体_GB2312" w:cs="仿宋_GB2312"/>
          <w:b/>
          <w:bCs/>
          <w:color w:val="auto"/>
          <w:spacing w:val="-4"/>
          <w:sz w:val="32"/>
          <w:szCs w:val="32"/>
          <w:highlight w:val="none"/>
          <w:lang w:val="zh-CN"/>
        </w:rPr>
        <w:t>）</w:t>
      </w:r>
      <w:r>
        <w:rPr>
          <w:rFonts w:hint="eastAsia" w:ascii="楷体_GB2312" w:hAnsi="楷体_GB2312" w:eastAsia="楷体_GB2312" w:cs="楷体_GB2312"/>
          <w:b/>
          <w:bCs/>
          <w:color w:val="auto"/>
          <w:spacing w:val="-4"/>
          <w:sz w:val="32"/>
          <w:szCs w:val="32"/>
          <w:highlight w:val="none"/>
          <w:lang w:val="zh-CN" w:eastAsia="zh-CN"/>
        </w:rPr>
        <w:t>积极</w:t>
      </w:r>
      <w:r>
        <w:rPr>
          <w:rFonts w:hint="eastAsia" w:ascii="楷体_GB2312" w:hAnsi="楷体_GB2312" w:eastAsia="楷体_GB2312" w:cs="楷体_GB2312"/>
          <w:b/>
          <w:bCs/>
          <w:color w:val="auto"/>
          <w:spacing w:val="-4"/>
          <w:sz w:val="32"/>
          <w:szCs w:val="32"/>
          <w:highlight w:val="none"/>
          <w:lang w:val="en-US" w:eastAsia="zh-CN"/>
        </w:rPr>
        <w:t>增强</w:t>
      </w:r>
      <w:r>
        <w:rPr>
          <w:rFonts w:hint="eastAsia" w:ascii="楷体_GB2312" w:hAnsi="楷体_GB2312" w:eastAsia="楷体_GB2312" w:cs="楷体_GB2312"/>
          <w:b/>
          <w:bCs/>
          <w:color w:val="auto"/>
          <w:spacing w:val="-4"/>
          <w:sz w:val="32"/>
          <w:szCs w:val="32"/>
          <w:highlight w:val="none"/>
          <w:lang w:val="zh-CN" w:eastAsia="zh-CN"/>
        </w:rPr>
        <w:t>有效投资，</w:t>
      </w:r>
      <w:r>
        <w:rPr>
          <w:rFonts w:hint="eastAsia" w:ascii="楷体_GB2312" w:hAnsi="楷体_GB2312" w:eastAsia="楷体_GB2312" w:cs="楷体_GB2312"/>
          <w:b/>
          <w:bCs/>
          <w:color w:val="auto"/>
          <w:spacing w:val="-4"/>
          <w:sz w:val="32"/>
          <w:szCs w:val="32"/>
          <w:highlight w:val="none"/>
          <w:lang w:val="en-US" w:eastAsia="zh-CN"/>
        </w:rPr>
        <w:t>扩大基础设施乘数效应</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Times New Roman" w:eastAsia="仿宋_GB2312" w:cs="Times New Roman"/>
          <w:b w:val="0"/>
          <w:bCs/>
          <w:color w:val="auto"/>
          <w:sz w:val="32"/>
          <w:szCs w:val="32"/>
          <w:highlight w:val="none"/>
          <w:lang w:val="en-US" w:eastAsia="zh-CN"/>
        </w:rPr>
      </w:pPr>
      <w:r>
        <w:rPr>
          <w:rFonts w:hint="eastAsia" w:cs="仿宋"/>
          <w:color w:val="auto"/>
          <w:kern w:val="0"/>
          <w:sz w:val="32"/>
          <w:szCs w:val="32"/>
          <w:highlight w:val="none"/>
          <w:lang w:val="zh-CN" w:eastAsia="zh-CN"/>
        </w:rPr>
        <w:t>把扩大有效投资作为拉动经济增长的主要动力，加大基础设施和重点项目投资力度，保持固定资产投资稳定增长。</w:t>
      </w:r>
      <w:r>
        <w:rPr>
          <w:rFonts w:hint="eastAsia" w:ascii="仿宋_GB2312" w:hAnsi="仿宋_GB2312" w:eastAsia="仿宋_GB2312" w:cs="仿宋_GB2312"/>
          <w:color w:val="auto"/>
          <w:sz w:val="32"/>
          <w:szCs w:val="32"/>
          <w:highlight w:val="none"/>
          <w:lang w:val="zh-CN" w:eastAsia="zh-CN"/>
        </w:rPr>
        <w:t>2023年，我市计划实施500万元及以上重点项目67项，总投资57.47亿元，计划完成投资17.96亿元。</w:t>
      </w:r>
      <w:r>
        <w:rPr>
          <w:rFonts w:hint="eastAsia" w:ascii="仿宋_GB2312" w:eastAsia="仿宋_GB2312"/>
          <w:b/>
          <w:color w:val="auto"/>
          <w:sz w:val="32"/>
          <w:szCs w:val="32"/>
          <w:highlight w:val="none"/>
        </w:rPr>
        <w:t>公路方面</w:t>
      </w:r>
      <w:r>
        <w:rPr>
          <w:rFonts w:hint="eastAsia" w:ascii="仿宋_GB2312" w:eastAsia="仿宋_GB2312"/>
          <w:color w:val="auto"/>
          <w:sz w:val="32"/>
          <w:szCs w:val="32"/>
          <w:highlight w:val="none"/>
        </w:rPr>
        <w:t>：</w:t>
      </w:r>
      <w:r>
        <w:rPr>
          <w:rFonts w:hint="eastAsia" w:cs="仿宋"/>
          <w:color w:val="auto"/>
          <w:kern w:val="0"/>
          <w:sz w:val="32"/>
          <w:szCs w:val="32"/>
          <w:highlight w:val="none"/>
          <w:lang w:val="en-US" w:eastAsia="zh-CN"/>
        </w:rPr>
        <w:t>抓好边防防火公路、五岔沟至明水公路工程续建项目，按计划在</w:t>
      </w:r>
      <w:r>
        <w:rPr>
          <w:rFonts w:hint="eastAsia" w:ascii="仿宋_GB2312" w:hAnsi="仿宋_GB2312" w:eastAsia="仿宋_GB2312" w:cs="仿宋_GB2312"/>
          <w:color w:val="auto"/>
          <w:sz w:val="32"/>
          <w:szCs w:val="32"/>
          <w:highlight w:val="none"/>
          <w:lang w:val="en-US" w:eastAsia="zh-CN"/>
        </w:rPr>
        <w:t>2023年</w:t>
      </w:r>
      <w:r>
        <w:rPr>
          <w:rFonts w:hint="eastAsia" w:cs="仿宋"/>
          <w:color w:val="auto"/>
          <w:kern w:val="0"/>
          <w:sz w:val="32"/>
          <w:szCs w:val="32"/>
          <w:highlight w:val="none"/>
          <w:lang w:val="en-US" w:eastAsia="zh-CN"/>
        </w:rPr>
        <w:t>年底前完工；推进</w:t>
      </w:r>
      <w:r>
        <w:rPr>
          <w:rFonts w:hint="default" w:cs="仿宋"/>
          <w:color w:val="auto"/>
          <w:kern w:val="0"/>
          <w:sz w:val="32"/>
          <w:szCs w:val="32"/>
          <w:highlight w:val="none"/>
          <w:lang w:val="en-US" w:eastAsia="zh-CN"/>
        </w:rPr>
        <w:t>阿伊环线路面改善工程</w:t>
      </w:r>
      <w:r>
        <w:rPr>
          <w:rFonts w:hint="eastAsia" w:cs="仿宋"/>
          <w:color w:val="auto"/>
          <w:kern w:val="0"/>
          <w:sz w:val="32"/>
          <w:szCs w:val="32"/>
          <w:highlight w:val="none"/>
          <w:lang w:val="en-US" w:eastAsia="zh-CN"/>
        </w:rPr>
        <w:t>、公交一体化项目建设。</w:t>
      </w:r>
      <w:r>
        <w:rPr>
          <w:rFonts w:hint="eastAsia" w:ascii="仿宋_GB2312" w:eastAsia="仿宋_GB2312"/>
          <w:b/>
          <w:color w:val="auto"/>
          <w:sz w:val="32"/>
          <w:szCs w:val="32"/>
          <w:highlight w:val="none"/>
        </w:rPr>
        <w:t>航空方面</w:t>
      </w:r>
      <w:r>
        <w:rPr>
          <w:rFonts w:hint="eastAsia" w:ascii="仿宋_GB2312" w:hAnsi="仿宋_GB2312" w:eastAsia="仿宋_GB2312" w:cs="仿宋_GB2312"/>
          <w:color w:val="auto"/>
          <w:sz w:val="32"/>
          <w:szCs w:val="32"/>
          <w:highlight w:val="none"/>
        </w:rPr>
        <w:t>：</w:t>
      </w:r>
      <w:r>
        <w:rPr>
          <w:rFonts w:hint="eastAsia" w:cs="仿宋"/>
          <w:color w:val="auto"/>
          <w:kern w:val="0"/>
          <w:sz w:val="32"/>
          <w:szCs w:val="32"/>
          <w:highlight w:val="none"/>
          <w:lang w:val="en-US" w:eastAsia="zh-CN"/>
        </w:rPr>
        <w:t>完成阿尔山机场改扩建工程前期工作。</w:t>
      </w:r>
      <w:r>
        <w:rPr>
          <w:rFonts w:hint="eastAsia" w:ascii="仿宋_GB2312" w:eastAsia="仿宋_GB2312"/>
          <w:b/>
          <w:color w:val="auto"/>
          <w:sz w:val="32"/>
          <w:szCs w:val="32"/>
          <w:highlight w:val="none"/>
        </w:rPr>
        <w:t>铁路方面：</w:t>
      </w:r>
      <w:r>
        <w:rPr>
          <w:rFonts w:hint="eastAsia" w:cs="仿宋"/>
          <w:color w:val="auto"/>
          <w:kern w:val="0"/>
          <w:sz w:val="32"/>
          <w:szCs w:val="32"/>
          <w:highlight w:val="none"/>
          <w:lang w:val="en-US" w:eastAsia="zh-CN"/>
        </w:rPr>
        <w:t>确保白阿铁路乌兰浩特至阿尔山段扩能改造工程项目开工建设。</w:t>
      </w:r>
      <w:r>
        <w:rPr>
          <w:rFonts w:hint="eastAsia" w:ascii="仿宋_GB2312" w:eastAsia="仿宋_GB2312"/>
          <w:b/>
          <w:color w:val="auto"/>
          <w:sz w:val="32"/>
          <w:szCs w:val="32"/>
          <w:highlight w:val="none"/>
        </w:rPr>
        <w:t>口岸方面：</w:t>
      </w:r>
      <w:r>
        <w:rPr>
          <w:rFonts w:hint="eastAsia" w:cs="仿宋"/>
          <w:color w:val="auto"/>
          <w:kern w:val="0"/>
          <w:sz w:val="32"/>
          <w:szCs w:val="32"/>
          <w:highlight w:val="none"/>
          <w:lang w:val="en-US" w:eastAsia="zh-CN"/>
        </w:rPr>
        <w:t>计划实施尔山口岸边防巡逻路、生态停车场、生态环境综合治理等口岸基础设施建设项目。</w:t>
      </w:r>
      <w:r>
        <w:rPr>
          <w:rFonts w:hint="eastAsia" w:ascii="仿宋_GB2312" w:eastAsia="仿宋_GB2312"/>
          <w:b/>
          <w:color w:val="auto"/>
          <w:sz w:val="32"/>
          <w:szCs w:val="32"/>
          <w:highlight w:val="none"/>
        </w:rPr>
        <w:t>电网方面</w:t>
      </w:r>
      <w:r>
        <w:rPr>
          <w:rFonts w:hint="eastAsia" w:ascii="仿宋_GB2312" w:hAnsi="Times New Roman" w:eastAsia="仿宋_GB2312" w:cs="Times New Roman"/>
          <w:b w:val="0"/>
          <w:bCs/>
          <w:color w:val="auto"/>
          <w:sz w:val="32"/>
          <w:szCs w:val="32"/>
          <w:highlight w:val="none"/>
          <w:lang w:val="en-US" w:eastAsia="zh-CN"/>
        </w:rPr>
        <w:t>：</w:t>
      </w:r>
      <w:r>
        <w:rPr>
          <w:rFonts w:hint="eastAsia" w:cs="仿宋"/>
          <w:color w:val="auto"/>
          <w:kern w:val="0"/>
          <w:sz w:val="32"/>
          <w:szCs w:val="32"/>
          <w:highlight w:val="none"/>
          <w:lang w:val="en-US" w:eastAsia="zh-CN"/>
        </w:rPr>
        <w:t>计划新建</w:t>
      </w:r>
      <w:r>
        <w:rPr>
          <w:rFonts w:hint="eastAsia" w:ascii="仿宋_GB2312" w:hAnsi="仿宋_GB2312" w:eastAsia="仿宋_GB2312" w:cs="仿宋_GB2312"/>
          <w:color w:val="auto"/>
          <w:sz w:val="32"/>
          <w:szCs w:val="32"/>
          <w:highlight w:val="none"/>
          <w:lang w:val="en-US" w:eastAsia="zh-CN"/>
        </w:rPr>
        <w:t>10千伏线路35.43</w:t>
      </w:r>
      <w:r>
        <w:rPr>
          <w:rFonts w:hint="eastAsia" w:cs="仿宋"/>
          <w:color w:val="auto"/>
          <w:kern w:val="0"/>
          <w:sz w:val="32"/>
          <w:szCs w:val="32"/>
          <w:highlight w:val="none"/>
          <w:lang w:val="en-US" w:eastAsia="zh-CN"/>
        </w:rPr>
        <w:t>千米，低压线路</w:t>
      </w:r>
      <w:r>
        <w:rPr>
          <w:rFonts w:hint="eastAsia" w:ascii="仿宋_GB2312" w:hAnsi="仿宋_GB2312" w:eastAsia="仿宋_GB2312" w:cs="仿宋_GB2312"/>
          <w:color w:val="auto"/>
          <w:sz w:val="32"/>
          <w:szCs w:val="32"/>
          <w:highlight w:val="none"/>
          <w:lang w:val="en-US" w:eastAsia="zh-CN"/>
        </w:rPr>
        <w:t>0.77千米，变压器3</w:t>
      </w:r>
      <w:r>
        <w:rPr>
          <w:rFonts w:hint="eastAsia" w:cs="仿宋"/>
          <w:color w:val="auto"/>
          <w:kern w:val="0"/>
          <w:sz w:val="32"/>
          <w:szCs w:val="32"/>
          <w:highlight w:val="none"/>
          <w:lang w:val="en-US" w:eastAsia="zh-CN"/>
        </w:rPr>
        <w:t>台。</w:t>
      </w:r>
      <w:r>
        <w:rPr>
          <w:rFonts w:hint="eastAsia" w:ascii="仿宋_GB2312" w:eastAsia="仿宋_GB2312"/>
          <w:b/>
          <w:color w:val="auto"/>
          <w:sz w:val="32"/>
          <w:szCs w:val="32"/>
          <w:highlight w:val="none"/>
        </w:rPr>
        <w:t>城镇基础设施方面：</w:t>
      </w:r>
      <w:r>
        <w:rPr>
          <w:rFonts w:hint="eastAsia" w:cs="仿宋"/>
          <w:color w:val="auto"/>
          <w:kern w:val="0"/>
          <w:sz w:val="32"/>
          <w:szCs w:val="32"/>
          <w:highlight w:val="none"/>
          <w:lang w:val="en-US" w:eastAsia="zh-CN"/>
        </w:rPr>
        <w:t>持续推进圣泉广场改造提升项目、温泉街自来水管网改造工程、阿尔山市中心城市小区巷道连接工程、阿尔山市</w:t>
      </w:r>
      <w:r>
        <w:rPr>
          <w:rFonts w:hint="eastAsia" w:ascii="仿宋_GB2312" w:hAnsi="仿宋_GB2312" w:eastAsia="仿宋_GB2312" w:cs="仿宋_GB2312"/>
          <w:color w:val="auto"/>
          <w:sz w:val="32"/>
          <w:szCs w:val="32"/>
          <w:highlight w:val="none"/>
          <w:lang w:val="en-US" w:eastAsia="zh-CN"/>
        </w:rPr>
        <w:t>2022年</w:t>
      </w:r>
      <w:r>
        <w:rPr>
          <w:rFonts w:hint="eastAsia" w:cs="仿宋"/>
          <w:color w:val="auto"/>
          <w:kern w:val="0"/>
          <w:sz w:val="32"/>
          <w:szCs w:val="32"/>
          <w:highlight w:val="none"/>
          <w:lang w:val="en-US" w:eastAsia="zh-CN"/>
        </w:rPr>
        <w:t>老旧小区改造主体建设工程等项目；计划新开工阿尔山市</w:t>
      </w:r>
      <w:r>
        <w:rPr>
          <w:rFonts w:hint="eastAsia" w:ascii="仿宋_GB2312" w:hAnsi="仿宋_GB2312" w:eastAsia="仿宋_GB2312" w:cs="仿宋_GB2312"/>
          <w:color w:val="auto"/>
          <w:sz w:val="32"/>
          <w:szCs w:val="32"/>
          <w:highlight w:val="none"/>
          <w:lang w:val="en-US" w:eastAsia="zh-CN"/>
        </w:rPr>
        <w:t>2023</w:t>
      </w:r>
      <w:r>
        <w:rPr>
          <w:rFonts w:hint="eastAsia" w:cs="仿宋"/>
          <w:color w:val="auto"/>
          <w:kern w:val="0"/>
          <w:sz w:val="32"/>
          <w:szCs w:val="32"/>
          <w:highlight w:val="none"/>
          <w:lang w:val="en-US" w:eastAsia="zh-CN"/>
        </w:rPr>
        <w:t>年度老旧小区改造配套基础设施建设、兴林路、河滨东路综合整治、伊尔施供水管网改造工程、阿尔山市公租房维修改造等项目。</w:t>
      </w:r>
    </w:p>
    <w:p>
      <w:pPr>
        <w:keepNext w:val="0"/>
        <w:keepLines w:val="0"/>
        <w:pageBreakBefore w:val="0"/>
        <w:kinsoku/>
        <w:wordWrap/>
        <w:overflowPunct/>
        <w:topLinePunct w:val="0"/>
        <w:bidi w:val="0"/>
        <w:spacing w:line="560" w:lineRule="exact"/>
        <w:ind w:firstLine="627" w:firstLineChars="200"/>
        <w:jc w:val="both"/>
        <w:textAlignment w:val="auto"/>
        <w:outlineLvl w:val="1"/>
        <w:rPr>
          <w:rFonts w:hint="eastAsia" w:ascii="楷体_GB2312" w:eastAsia="楷体_GB2312" w:cs="仿宋_GB2312"/>
          <w:b/>
          <w:bCs/>
          <w:color w:val="auto"/>
          <w:spacing w:val="-17"/>
          <w:w w:val="100"/>
          <w:sz w:val="32"/>
          <w:szCs w:val="32"/>
          <w:highlight w:val="none"/>
          <w:lang w:val="en-US" w:eastAsia="zh-CN"/>
        </w:rPr>
      </w:pPr>
      <w:r>
        <w:rPr>
          <w:rFonts w:hint="eastAsia" w:ascii="楷体_GB2312" w:eastAsia="楷体_GB2312" w:cs="仿宋_GB2312"/>
          <w:b/>
          <w:bCs/>
          <w:color w:val="auto"/>
          <w:spacing w:val="-4"/>
          <w:sz w:val="32"/>
          <w:szCs w:val="32"/>
          <w:highlight w:val="none"/>
          <w:lang w:val="en-US" w:eastAsia="zh-CN"/>
        </w:rPr>
        <w:t>（三）</w:t>
      </w:r>
      <w:r>
        <w:rPr>
          <w:rFonts w:hint="eastAsia" w:ascii="楷体_GB2312" w:hAnsi="楷体_GB2312" w:eastAsia="楷体_GB2312" w:cs="楷体_GB2312"/>
          <w:b/>
          <w:bCs/>
          <w:color w:val="auto"/>
          <w:spacing w:val="-4"/>
          <w:sz w:val="32"/>
          <w:szCs w:val="32"/>
          <w:highlight w:val="none"/>
          <w:lang w:val="en-US" w:eastAsia="zh-CN"/>
        </w:rPr>
        <w:t>把握共享发展内涵</w:t>
      </w:r>
      <w:r>
        <w:rPr>
          <w:rStyle w:val="40"/>
          <w:rFonts w:hint="eastAsia" w:ascii="楷体_GB2312" w:hAnsi="楷体_GB2312" w:eastAsia="楷体_GB2312" w:cs="楷体_GB2312"/>
          <w:b/>
          <w:bCs/>
          <w:i w:val="0"/>
          <w:caps w:val="0"/>
          <w:color w:val="auto"/>
          <w:spacing w:val="0"/>
          <w:w w:val="100"/>
          <w:kern w:val="2"/>
          <w:sz w:val="32"/>
          <w:szCs w:val="32"/>
          <w:highlight w:val="none"/>
          <w:lang w:val="en-US" w:eastAsia="zh-CN" w:bidi="ar-SA"/>
        </w:rPr>
        <w:t>，</w:t>
      </w:r>
      <w:r>
        <w:rPr>
          <w:rFonts w:hint="eastAsia" w:ascii="楷体_GB2312" w:eastAsia="楷体_GB2312" w:cs="仿宋_GB2312"/>
          <w:b/>
          <w:bCs/>
          <w:color w:val="auto"/>
          <w:spacing w:val="-4"/>
          <w:sz w:val="32"/>
          <w:szCs w:val="32"/>
          <w:highlight w:val="none"/>
          <w:lang w:val="en-US" w:eastAsia="zh-CN"/>
        </w:rPr>
        <w:t>建设宜居宜业和美乡村</w:t>
      </w:r>
    </w:p>
    <w:p>
      <w:pPr>
        <w:keepNext w:val="0"/>
        <w:keepLines w:val="0"/>
        <w:pageBreakBefore w:val="0"/>
        <w:widowControl/>
        <w:kinsoku/>
        <w:wordWrap/>
        <w:overflowPunct/>
        <w:topLinePunct w:val="0"/>
        <w:autoSpaceDE/>
        <w:autoSpaceDN/>
        <w:bidi w:val="0"/>
        <w:adjustRightInd/>
        <w:snapToGrid/>
        <w:spacing w:before="0" w:beforeAutospacing="0" w:afterAutospacing="0" w:line="560" w:lineRule="exact"/>
        <w:ind w:firstLine="643" w:firstLineChars="200"/>
        <w:jc w:val="both"/>
        <w:textAlignment w:val="baseline"/>
        <w:rPr>
          <w:rStyle w:val="29"/>
          <w:rFonts w:hint="default" w:ascii="仿宋_GB2312" w:hAnsi="仿宋_GB2312" w:eastAsia="仿宋_GB2312" w:cs="Times New Roman"/>
          <w:b w:val="0"/>
          <w:bCs w:val="0"/>
          <w:i w:val="0"/>
          <w:caps w:val="0"/>
          <w:color w:val="auto"/>
          <w:spacing w:val="0"/>
          <w:w w:val="100"/>
          <w:kern w:val="2"/>
          <w:sz w:val="32"/>
          <w:szCs w:val="32"/>
          <w:highlight w:val="none"/>
          <w:lang w:val="en-US" w:eastAsia="zh-CN" w:bidi="ar-SA"/>
        </w:rPr>
      </w:pPr>
      <w:r>
        <w:rPr>
          <w:rStyle w:val="40"/>
          <w:rFonts w:hint="eastAsia" w:ascii="楷体_GB2312" w:hAnsi="楷体_GB2312" w:eastAsia="楷体_GB2312" w:cs="楷体_GB2312"/>
          <w:b/>
          <w:bCs/>
          <w:i w:val="0"/>
          <w:caps w:val="0"/>
          <w:color w:val="auto"/>
          <w:spacing w:val="0"/>
          <w:w w:val="100"/>
          <w:kern w:val="2"/>
          <w:sz w:val="32"/>
          <w:szCs w:val="32"/>
          <w:highlight w:val="none"/>
          <w:lang w:val="en-US" w:eastAsia="zh-CN" w:bidi="ar-SA"/>
        </w:rPr>
        <w:t>一是常态化开展防返贫动态监测，</w:t>
      </w:r>
      <w:r>
        <w:rPr>
          <w:rFonts w:hint="eastAsia" w:cs="仿宋"/>
          <w:color w:val="auto"/>
          <w:kern w:val="0"/>
          <w:sz w:val="32"/>
          <w:szCs w:val="32"/>
          <w:highlight w:val="none"/>
          <w:lang w:val="en-US" w:eastAsia="zh-CN"/>
        </w:rPr>
        <w:t>严格落实</w:t>
      </w:r>
      <w:r>
        <w:rPr>
          <w:rFonts w:hint="eastAsia" w:cs="仿宋"/>
          <w:color w:val="auto"/>
          <w:kern w:val="0"/>
          <w:sz w:val="32"/>
          <w:szCs w:val="32"/>
          <w:highlight w:val="none"/>
          <w:lang w:val="zh-CN" w:eastAsia="zh-CN"/>
        </w:rPr>
        <w:t>“四</w:t>
      </w:r>
      <w:r>
        <w:rPr>
          <w:rFonts w:hint="eastAsia" w:cs="仿宋"/>
          <w:color w:val="auto"/>
          <w:kern w:val="0"/>
          <w:sz w:val="32"/>
          <w:szCs w:val="32"/>
          <w:highlight w:val="none"/>
          <w:lang w:val="en-US" w:eastAsia="zh-CN"/>
        </w:rPr>
        <w:t>个不摘”工作要求，以巩固</w:t>
      </w:r>
      <w:r>
        <w:rPr>
          <w:rFonts w:hint="eastAsia" w:cs="仿宋"/>
          <w:color w:val="auto"/>
          <w:kern w:val="0"/>
          <w:sz w:val="32"/>
          <w:szCs w:val="32"/>
          <w:highlight w:val="none"/>
          <w:lang w:val="zh-CN" w:eastAsia="zh-CN"/>
        </w:rPr>
        <w:t>“两</w:t>
      </w:r>
      <w:r>
        <w:rPr>
          <w:rFonts w:hint="eastAsia" w:cs="仿宋"/>
          <w:color w:val="auto"/>
          <w:kern w:val="0"/>
          <w:sz w:val="32"/>
          <w:szCs w:val="32"/>
          <w:highlight w:val="none"/>
          <w:lang w:val="en-US" w:eastAsia="zh-CN"/>
        </w:rPr>
        <w:t>不愁三保障”及饮水安全成果为目标。按季度开展摸底排查和动态调整工作，开展定期核查、动态管理，坚持应纳尽纳，杜绝“体外循环”。</w:t>
      </w:r>
      <w:r>
        <w:rPr>
          <w:rFonts w:hint="eastAsia" w:ascii="仿宋_GB2312" w:hAnsi="仿宋_GB2312" w:eastAsia="仿宋_GB2312" w:cs="仿宋_GB2312"/>
          <w:b/>
          <w:bCs/>
          <w:color w:val="auto"/>
          <w:kern w:val="2"/>
          <w:sz w:val="32"/>
          <w:szCs w:val="32"/>
          <w:highlight w:val="none"/>
          <w:lang w:val="en-US" w:eastAsia="zh-CN" w:bidi="ar-SA"/>
        </w:rPr>
        <w:t>三是</w:t>
      </w:r>
      <w:r>
        <w:rPr>
          <w:rFonts w:hint="eastAsia" w:ascii="楷体_GB2312" w:hAnsi="楷体_GB2312" w:eastAsia="楷体_GB2312" w:cs="楷体_GB2312"/>
          <w:b/>
          <w:bCs/>
          <w:color w:val="auto"/>
          <w:sz w:val="32"/>
          <w:szCs w:val="32"/>
          <w:highlight w:val="none"/>
          <w:lang w:val="en-US" w:eastAsia="zh-CN"/>
        </w:rPr>
        <w:t>有序推进乡村建设</w:t>
      </w:r>
      <w:r>
        <w:rPr>
          <w:rFonts w:hint="eastAsia" w:ascii="仿宋_GB2312" w:hAnsi="仿宋_GB2312" w:eastAsia="仿宋_GB2312" w:cs="仿宋_GB2312"/>
          <w:b/>
          <w:bCs/>
          <w:color w:val="auto"/>
          <w:kern w:val="2"/>
          <w:sz w:val="32"/>
          <w:szCs w:val="32"/>
          <w:highlight w:val="none"/>
          <w:lang w:val="en-US" w:eastAsia="zh-CN" w:bidi="ar-SA"/>
        </w:rPr>
        <w:t>。</w:t>
      </w:r>
      <w:r>
        <w:rPr>
          <w:rFonts w:hint="eastAsia" w:cs="仿宋"/>
          <w:color w:val="auto"/>
          <w:kern w:val="0"/>
          <w:sz w:val="32"/>
          <w:szCs w:val="32"/>
          <w:highlight w:val="none"/>
          <w:lang w:val="en-US" w:eastAsia="zh-CN"/>
        </w:rPr>
        <w:t>进一步深刻领会、全面贯彻中央和区、盟的决策部署，落实好</w:t>
      </w:r>
      <w:r>
        <w:rPr>
          <w:rFonts w:hint="eastAsia" w:ascii="仿宋_GB2312" w:hAnsi="仿宋_GB2312" w:eastAsia="仿宋_GB2312" w:cs="仿宋_GB2312"/>
          <w:color w:val="auto"/>
          <w:sz w:val="32"/>
          <w:szCs w:val="32"/>
          <w:highlight w:val="none"/>
          <w:lang w:val="en-US" w:eastAsia="zh-CN"/>
        </w:rPr>
        <w:t>“1+8+3”乡</w:t>
      </w:r>
      <w:r>
        <w:rPr>
          <w:rFonts w:hint="eastAsia" w:cs="仿宋"/>
          <w:color w:val="auto"/>
          <w:kern w:val="0"/>
          <w:sz w:val="32"/>
          <w:szCs w:val="32"/>
          <w:highlight w:val="none"/>
          <w:lang w:val="en-US" w:eastAsia="zh-CN"/>
        </w:rPr>
        <w:t>村建设要求，进一步加强组织力度和资金投入，继续深化人居环境的细节管理，使村庄基础设施与公共服务设施得到明显提升，加快建设宜居宜业和美乡村。</w:t>
      </w:r>
      <w:r>
        <w:rPr>
          <w:rStyle w:val="29"/>
          <w:rFonts w:hint="eastAsia" w:ascii="仿宋_GB2312" w:hAnsi="仿宋_GB2312" w:cs="Times New Roman"/>
          <w:b w:val="0"/>
          <w:bCs w:val="0"/>
          <w:i w:val="0"/>
          <w:caps w:val="0"/>
          <w:color w:val="auto"/>
          <w:spacing w:val="0"/>
          <w:w w:val="100"/>
          <w:kern w:val="2"/>
          <w:sz w:val="32"/>
          <w:szCs w:val="32"/>
          <w:highlight w:val="none"/>
          <w:lang w:val="en-US" w:eastAsia="zh-CN" w:bidi="ar-SA"/>
        </w:rPr>
        <w:t>三</w:t>
      </w:r>
      <w:r>
        <w:rPr>
          <w:rStyle w:val="40"/>
          <w:rFonts w:hint="eastAsia" w:ascii="楷体_GB2312" w:hAnsi="楷体_GB2312" w:eastAsia="楷体_GB2312" w:cs="楷体_GB2312"/>
          <w:b/>
          <w:bCs/>
          <w:i w:val="0"/>
          <w:caps w:val="0"/>
          <w:color w:val="auto"/>
          <w:spacing w:val="0"/>
          <w:w w:val="100"/>
          <w:kern w:val="2"/>
          <w:sz w:val="32"/>
          <w:szCs w:val="32"/>
          <w:highlight w:val="none"/>
          <w:lang w:val="en-US" w:eastAsia="zh-CN" w:bidi="ar-SA"/>
        </w:rPr>
        <w:t>是</w:t>
      </w:r>
      <w:r>
        <w:rPr>
          <w:rFonts w:hint="eastAsia" w:ascii="楷体_GB2312" w:hAnsi="楷体" w:eastAsia="楷体_GB2312" w:cs="宋体"/>
          <w:b/>
          <w:color w:val="auto"/>
          <w:spacing w:val="-4"/>
          <w:kern w:val="0"/>
          <w:sz w:val="32"/>
          <w:szCs w:val="32"/>
          <w:highlight w:val="none"/>
          <w:shd w:val="clear" w:color="auto" w:fill="auto"/>
          <w:lang w:val="en-US" w:eastAsia="zh-CN"/>
        </w:rPr>
        <w:t>增强政策资金倾斜</w:t>
      </w:r>
      <w:r>
        <w:rPr>
          <w:rStyle w:val="29"/>
          <w:rFonts w:hint="eastAsia" w:ascii="仿宋_GB2312" w:hAnsi="仿宋_GB2312" w:eastAsia="仿宋_GB2312" w:cs="仿宋_GB2312"/>
          <w:b/>
          <w:bCs/>
          <w:i w:val="0"/>
          <w:caps w:val="0"/>
          <w:color w:val="auto"/>
          <w:spacing w:val="0"/>
          <w:w w:val="100"/>
          <w:kern w:val="2"/>
          <w:sz w:val="32"/>
          <w:szCs w:val="32"/>
          <w:highlight w:val="none"/>
          <w:lang w:val="en-US" w:eastAsia="zh-CN" w:bidi="ar-SA"/>
        </w:rPr>
        <w:t>。</w:t>
      </w:r>
      <w:r>
        <w:rPr>
          <w:rFonts w:hint="eastAsia" w:cs="仿宋"/>
          <w:color w:val="auto"/>
          <w:kern w:val="0"/>
          <w:sz w:val="32"/>
          <w:szCs w:val="32"/>
          <w:highlight w:val="none"/>
          <w:lang w:val="en-US" w:eastAsia="zh-CN"/>
        </w:rPr>
        <w:t>围绕产业发展，全域旅游和乡村旅游设施等方面实施项目，</w:t>
      </w:r>
      <w:r>
        <w:rPr>
          <w:rFonts w:hint="default" w:cs="仿宋"/>
          <w:color w:val="auto"/>
          <w:kern w:val="0"/>
          <w:sz w:val="32"/>
          <w:szCs w:val="32"/>
          <w:highlight w:val="none"/>
          <w:lang w:val="en-US" w:eastAsia="zh-CN"/>
        </w:rPr>
        <w:t>努力为乡村产业振兴创造良好的条件，</w:t>
      </w:r>
      <w:r>
        <w:rPr>
          <w:rFonts w:hint="eastAsia" w:cs="仿宋"/>
          <w:color w:val="auto"/>
          <w:kern w:val="0"/>
          <w:sz w:val="32"/>
          <w:szCs w:val="32"/>
          <w:highlight w:val="none"/>
          <w:lang w:val="en-US" w:eastAsia="zh-CN"/>
        </w:rPr>
        <w:t>推动乡村旅游提质增效，</w:t>
      </w:r>
      <w:r>
        <w:rPr>
          <w:rFonts w:hint="default" w:cs="仿宋"/>
          <w:color w:val="auto"/>
          <w:kern w:val="0"/>
          <w:sz w:val="32"/>
          <w:szCs w:val="32"/>
          <w:highlight w:val="none"/>
          <w:lang w:val="en-US" w:eastAsia="zh-CN"/>
        </w:rPr>
        <w:t>增强乡村吸引力，带动资本、人才等生产要素向乡村汇聚</w:t>
      </w:r>
      <w:r>
        <w:rPr>
          <w:rFonts w:hint="eastAsia" w:cs="仿宋"/>
          <w:color w:val="auto"/>
          <w:kern w:val="0"/>
          <w:sz w:val="32"/>
          <w:szCs w:val="32"/>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200"/>
        <w:jc w:val="both"/>
        <w:textAlignment w:val="auto"/>
        <w:outlineLvl w:val="1"/>
        <w:rPr>
          <w:rFonts w:hint="eastAsia" w:ascii="仿宋_GB2312" w:eastAsia="仿宋_GB2312"/>
          <w:color w:val="auto"/>
          <w:sz w:val="32"/>
          <w:szCs w:val="32"/>
          <w:highlight w:val="none"/>
        </w:rPr>
      </w:pPr>
      <w:r>
        <w:rPr>
          <w:rFonts w:hint="eastAsia" w:ascii="楷体_GB2312" w:eastAsia="楷体_GB2312" w:cs="仿宋_GB2312"/>
          <w:b/>
          <w:bCs/>
          <w:color w:val="auto"/>
          <w:spacing w:val="-4"/>
          <w:sz w:val="32"/>
          <w:szCs w:val="32"/>
          <w:highlight w:val="none"/>
          <w:lang w:val="zh-CN"/>
        </w:rPr>
        <w:t>（</w:t>
      </w:r>
      <w:r>
        <w:rPr>
          <w:rFonts w:hint="eastAsia" w:ascii="楷体_GB2312" w:eastAsia="楷体_GB2312" w:cs="仿宋_GB2312"/>
          <w:b/>
          <w:bCs/>
          <w:color w:val="auto"/>
          <w:spacing w:val="-4"/>
          <w:sz w:val="32"/>
          <w:szCs w:val="32"/>
          <w:highlight w:val="none"/>
        </w:rPr>
        <w:t>四</w:t>
      </w:r>
      <w:r>
        <w:rPr>
          <w:rFonts w:hint="eastAsia" w:ascii="楷体_GB2312" w:eastAsia="楷体_GB2312" w:cs="仿宋_GB2312"/>
          <w:b/>
          <w:bCs/>
          <w:color w:val="auto"/>
          <w:spacing w:val="-4"/>
          <w:sz w:val="32"/>
          <w:szCs w:val="32"/>
          <w:highlight w:val="none"/>
          <w:lang w:val="zh-CN"/>
        </w:rPr>
        <w:t>）</w:t>
      </w:r>
      <w:r>
        <w:rPr>
          <w:rFonts w:hint="eastAsia" w:ascii="楷体_GB2312" w:eastAsia="楷体_GB2312" w:cs="仿宋_GB2312"/>
          <w:b/>
          <w:bCs/>
          <w:color w:val="auto"/>
          <w:spacing w:val="-4"/>
          <w:sz w:val="32"/>
          <w:szCs w:val="32"/>
          <w:highlight w:val="none"/>
          <w:lang w:val="en-US" w:eastAsia="zh-CN"/>
        </w:rPr>
        <w:t>深化改革勇毅前行</w:t>
      </w:r>
      <w:r>
        <w:rPr>
          <w:rFonts w:hint="eastAsia" w:ascii="楷体_GB2312" w:eastAsia="楷体_GB2312" w:cs="仿宋_GB2312"/>
          <w:b/>
          <w:bCs/>
          <w:color w:val="auto"/>
          <w:spacing w:val="-4"/>
          <w:sz w:val="32"/>
          <w:szCs w:val="32"/>
          <w:highlight w:val="none"/>
          <w:lang w:val="zh-CN"/>
        </w:rPr>
        <w:t>，</w:t>
      </w:r>
      <w:r>
        <w:rPr>
          <w:rFonts w:hint="eastAsia" w:ascii="楷体_GB2312" w:eastAsia="楷体_GB2312" w:cs="仿宋_GB2312"/>
          <w:b/>
          <w:bCs/>
          <w:color w:val="auto"/>
          <w:spacing w:val="-4"/>
          <w:sz w:val="32"/>
          <w:szCs w:val="32"/>
          <w:highlight w:val="none"/>
          <w:lang w:val="en-US" w:eastAsia="zh-CN"/>
        </w:rPr>
        <w:t>打造经济增长新</w:t>
      </w:r>
      <w:r>
        <w:rPr>
          <w:rFonts w:hint="eastAsia" w:ascii="楷体" w:hAnsi="楷体" w:eastAsia="楷体" w:cs="楷体"/>
          <w:b/>
          <w:bCs/>
          <w:color w:val="auto"/>
          <w:sz w:val="32"/>
          <w:szCs w:val="32"/>
          <w:highlight w:val="none"/>
          <w:shd w:val="clear" w:color="auto" w:fill="FFFFFF"/>
        </w:rPr>
        <w:t>动能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cs="仿宋_GB2312"/>
          <w:b/>
          <w:color w:val="auto"/>
          <w:sz w:val="32"/>
          <w:szCs w:val="32"/>
          <w:highlight w:val="none"/>
          <w:lang w:val="en-US" w:eastAsia="zh-CN"/>
        </w:rPr>
        <w:t>1.系统打造政务服务体系</w:t>
      </w:r>
      <w:r>
        <w:rPr>
          <w:rFonts w:hint="eastAsia" w:ascii="仿宋_GB2312" w:hAnsi="仿宋_GB2312" w:eastAsia="仿宋_GB2312" w:cs="仿宋_GB2312"/>
          <w:b/>
          <w:color w:val="auto"/>
          <w:sz w:val="32"/>
          <w:szCs w:val="32"/>
          <w:highlight w:val="none"/>
        </w:rPr>
        <w:t>。</w:t>
      </w:r>
      <w:r>
        <w:rPr>
          <w:rFonts w:hint="eastAsia" w:cs="仿宋"/>
          <w:color w:val="auto"/>
          <w:kern w:val="0"/>
          <w:sz w:val="32"/>
          <w:szCs w:val="32"/>
          <w:highlight w:val="none"/>
          <w:lang w:val="en-US" w:eastAsia="zh-CN"/>
        </w:rPr>
        <w:t>深入完善市本级政务服务中心、镇（街）便民服务中心、村（社区）便民服务站三级政务服务体系建设，争取实现所有应进事项</w:t>
      </w:r>
      <w:r>
        <w:rPr>
          <w:rFonts w:hint="eastAsia" w:ascii="仿宋_GB2312" w:hAnsi="仿宋_GB2312" w:eastAsia="仿宋_GB2312" w:cs="仿宋_GB2312"/>
          <w:color w:val="auto"/>
          <w:sz w:val="32"/>
          <w:szCs w:val="32"/>
          <w:highlight w:val="none"/>
          <w:lang w:val="en-US" w:eastAsia="zh-CN"/>
        </w:rPr>
        <w:t>100%进</w:t>
      </w:r>
      <w:r>
        <w:rPr>
          <w:rFonts w:hint="eastAsia" w:cs="仿宋"/>
          <w:color w:val="auto"/>
          <w:kern w:val="0"/>
          <w:sz w:val="32"/>
          <w:szCs w:val="32"/>
          <w:highlight w:val="none"/>
          <w:lang w:val="en-US" w:eastAsia="zh-CN"/>
        </w:rPr>
        <w:t>驻。加快构建集中审批综合执法标准服务体系框架，努力实现一枚管审批、一支队伍管执法、一套标准管服务，最大限度减少对资源配置的干预，最大程度发挥市场在资源配置中的决定性作用。继续推行“双随机、一公开”监管、“互联网+监管”等做法，健全事中事后监管长效机制，着力推动和完善“四办”工作。加快推进政务服务标准化、规范化、便利化和数据互通共享。持续推广应用“好差评”系统，以群众满意度和获得感作为工作成败的评判标准。</w:t>
      </w:r>
    </w:p>
    <w:p>
      <w:pPr>
        <w:pStyle w:val="7"/>
        <w:keepNext w:val="0"/>
        <w:keepLines w:val="0"/>
        <w:pageBreakBefore w:val="0"/>
        <w:kinsoku/>
        <w:wordWrap/>
        <w:overflowPunct/>
        <w:topLinePunct w:val="0"/>
        <w:bidi w:val="0"/>
        <w:adjustRightInd w:val="0"/>
        <w:snapToGrid w:val="0"/>
        <w:spacing w:line="560" w:lineRule="exact"/>
        <w:ind w:firstLine="640"/>
        <w:jc w:val="both"/>
        <w:rPr>
          <w:rFonts w:ascii="仿宋_GB2312" w:hAnsi="Times New Roman" w:eastAsia="仿宋_GB2312" w:cs="Times New Roman"/>
          <w:bCs/>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2.</w:t>
      </w:r>
      <w:r>
        <w:rPr>
          <w:rFonts w:hint="eastAsia" w:ascii="仿宋_GB2312" w:hAnsi="仿宋_GB2312" w:eastAsia="仿宋_GB2312" w:cs="仿宋_GB2312"/>
          <w:b/>
          <w:color w:val="auto"/>
          <w:sz w:val="32"/>
          <w:szCs w:val="32"/>
          <w:highlight w:val="none"/>
        </w:rPr>
        <w:t>加强开放平台建设。</w:t>
      </w:r>
      <w:r>
        <w:rPr>
          <w:rFonts w:hint="eastAsia" w:ascii="Times New Roman" w:hAnsi="Times New Roman" w:eastAsia="仿宋_GB2312" w:cs="仿宋"/>
          <w:color w:val="auto"/>
          <w:kern w:val="0"/>
          <w:sz w:val="32"/>
          <w:szCs w:val="32"/>
          <w:highlight w:val="none"/>
          <w:lang w:val="en-US" w:eastAsia="zh-CN"/>
        </w:rPr>
        <w:t>按照“把口岸建成景区，将景区建在口岸”的思路和目标，全力开展阿尔山生态旅游口</w:t>
      </w:r>
      <w:r>
        <w:rPr>
          <w:rFonts w:hint="eastAsia" w:ascii="仿宋_GB2312" w:hAnsi="仿宋_GB2312" w:eastAsia="仿宋_GB2312" w:cs="仿宋_GB2312"/>
          <w:color w:val="auto"/>
          <w:kern w:val="2"/>
          <w:sz w:val="32"/>
          <w:szCs w:val="32"/>
          <w:highlight w:val="none"/>
          <w:lang w:val="en-US" w:eastAsia="zh-CN" w:bidi="ar-SA"/>
        </w:rPr>
        <w:t>岸4A</w:t>
      </w:r>
      <w:r>
        <w:rPr>
          <w:rFonts w:hint="eastAsia" w:ascii="Times New Roman" w:hAnsi="Times New Roman" w:eastAsia="仿宋_GB2312" w:cs="仿宋"/>
          <w:color w:val="auto"/>
          <w:kern w:val="0"/>
          <w:sz w:val="32"/>
          <w:szCs w:val="32"/>
          <w:highlight w:val="none"/>
          <w:lang w:val="en-US" w:eastAsia="zh-CN"/>
        </w:rPr>
        <w:t>级景区建设。利用云平台、大数据等先进信息技术，提高口岸管理服务水平和通关效率，推动阿尔山口岸贸易高质量发展，优化资源整合配置，实现旅游产业与对外开放相互支撑、深度融合，将阿尔山口岸建设成为现代化、国际化的智慧型口岸，为打造向北开放桥头堡贡献力量。</w:t>
      </w:r>
    </w:p>
    <w:p>
      <w:pPr>
        <w:keepNext w:val="0"/>
        <w:keepLines w:val="0"/>
        <w:pageBreakBefore w:val="0"/>
        <w:widowControl/>
        <w:suppressLineNumbers w:val="0"/>
        <w:kinsoku/>
        <w:wordWrap/>
        <w:overflowPunct/>
        <w:topLinePunct w:val="0"/>
        <w:bidi w:val="0"/>
        <w:spacing w:line="560" w:lineRule="exact"/>
        <w:ind w:firstLine="643"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2"/>
          <w:sz w:val="32"/>
          <w:szCs w:val="32"/>
          <w:highlight w:val="none"/>
          <w:lang w:val="en-US" w:eastAsia="zh-CN" w:bidi="ar-SA"/>
        </w:rPr>
        <w:t>3.优化营商环境。</w:t>
      </w:r>
      <w:r>
        <w:rPr>
          <w:rFonts w:hint="eastAsia" w:cs="仿宋"/>
          <w:color w:val="auto"/>
          <w:kern w:val="0"/>
          <w:sz w:val="32"/>
          <w:szCs w:val="32"/>
          <w:highlight w:val="none"/>
          <w:lang w:val="en-US" w:eastAsia="zh-CN"/>
        </w:rPr>
        <w:t>坚持贯彻落实中央、自治区和兴安盟关于优化营商环境有关工作部署，持续推动营商环境</w:t>
      </w:r>
      <w:r>
        <w:rPr>
          <w:rFonts w:hint="eastAsia" w:ascii="仿宋_GB2312" w:hAnsi="仿宋_GB2312" w:eastAsia="仿宋_GB2312" w:cs="仿宋_GB2312"/>
          <w:color w:val="auto"/>
          <w:sz w:val="32"/>
          <w:szCs w:val="32"/>
          <w:highlight w:val="none"/>
          <w:lang w:val="en-US" w:eastAsia="zh-CN"/>
        </w:rPr>
        <w:t>3.0</w:t>
      </w:r>
      <w:r>
        <w:rPr>
          <w:rFonts w:hint="eastAsia" w:cs="仿宋"/>
          <w:color w:val="auto"/>
          <w:kern w:val="0"/>
          <w:sz w:val="32"/>
          <w:szCs w:val="32"/>
          <w:highlight w:val="none"/>
          <w:lang w:val="en-US" w:eastAsia="zh-CN"/>
        </w:rPr>
        <w:t>方案各项工作任务，夯实各项指标责任。继续落实《阿尔山市党政机关干部定向服务市场主体实施方案》及配套措施、逐步强化“蒙企通”平台推广和使用，切实打通市场主体的反馈渠道。认真贯彻落实加快民营经济发展的各项决策部署。对标国内先进，复制推广、借鉴先进地区优化营商环境改革举措，培</w:t>
      </w:r>
      <w:r>
        <w:rPr>
          <w:rFonts w:hint="eastAsia" w:ascii="仿宋_GB2312" w:hAnsi="仿宋_GB2312" w:eastAsia="仿宋_GB2312" w:cs="仿宋_GB2312"/>
          <w:color w:val="auto"/>
          <w:sz w:val="32"/>
          <w:szCs w:val="32"/>
          <w:highlight w:val="none"/>
          <w:lang w:val="en-US" w:eastAsia="zh-CN"/>
        </w:rPr>
        <w:t>育1-2项</w:t>
      </w:r>
      <w:r>
        <w:rPr>
          <w:rFonts w:hint="eastAsia" w:cs="仿宋"/>
          <w:color w:val="auto"/>
          <w:kern w:val="0"/>
          <w:sz w:val="32"/>
          <w:szCs w:val="32"/>
          <w:highlight w:val="none"/>
          <w:lang w:val="en-US" w:eastAsia="zh-CN"/>
        </w:rPr>
        <w:t>工作亮点并取得实质性效果。</w:t>
      </w:r>
    </w:p>
    <w:p>
      <w:pPr>
        <w:keepNext w:val="0"/>
        <w:keepLines w:val="0"/>
        <w:pageBreakBefore w:val="0"/>
        <w:widowControl/>
        <w:suppressLineNumbers w:val="0"/>
        <w:kinsoku/>
        <w:wordWrap/>
        <w:overflowPunct/>
        <w:topLinePunct w:val="0"/>
        <w:bidi w:val="0"/>
        <w:spacing w:line="560" w:lineRule="exact"/>
        <w:ind w:firstLine="627" w:firstLineChars="200"/>
        <w:jc w:val="both"/>
        <w:rPr>
          <w:rFonts w:hint="default" w:ascii="楷体_GB2312" w:hAnsi="楷体_GB2312" w:eastAsia="楷体_GB2312" w:cs="楷体_GB2312"/>
          <w:b/>
          <w:bCs/>
          <w:color w:val="auto"/>
          <w:spacing w:val="-4"/>
          <w:szCs w:val="32"/>
          <w:highlight w:val="none"/>
          <w:lang w:val="en-US" w:eastAsia="zh-CN"/>
        </w:rPr>
      </w:pPr>
      <w:r>
        <w:rPr>
          <w:rFonts w:hint="eastAsia" w:ascii="楷体_GB2312" w:hAnsi="楷体_GB2312" w:eastAsia="楷体_GB2312" w:cs="楷体_GB2312"/>
          <w:b/>
          <w:bCs/>
          <w:color w:val="auto"/>
          <w:spacing w:val="-4"/>
          <w:sz w:val="32"/>
          <w:szCs w:val="32"/>
          <w:highlight w:val="none"/>
          <w:lang w:val="zh-CN"/>
        </w:rPr>
        <w:t>（</w:t>
      </w:r>
      <w:r>
        <w:rPr>
          <w:rFonts w:hint="eastAsia" w:ascii="楷体_GB2312" w:hAnsi="楷体_GB2312" w:eastAsia="楷体_GB2312" w:cs="楷体_GB2312"/>
          <w:b/>
          <w:bCs/>
          <w:color w:val="auto"/>
          <w:spacing w:val="-4"/>
          <w:sz w:val="32"/>
          <w:szCs w:val="32"/>
          <w:highlight w:val="none"/>
          <w:lang w:val="zh-CN" w:eastAsia="zh-CN"/>
        </w:rPr>
        <w:t>五</w:t>
      </w:r>
      <w:r>
        <w:rPr>
          <w:rFonts w:hint="eastAsia" w:ascii="楷体_GB2312" w:hAnsi="楷体_GB2312" w:eastAsia="楷体_GB2312" w:cs="楷体_GB2312"/>
          <w:b/>
          <w:bCs/>
          <w:color w:val="auto"/>
          <w:spacing w:val="-4"/>
          <w:sz w:val="32"/>
          <w:szCs w:val="32"/>
          <w:highlight w:val="none"/>
          <w:lang w:val="zh-CN"/>
        </w:rPr>
        <w:t>）</w:t>
      </w:r>
      <w:r>
        <w:rPr>
          <w:rFonts w:hint="eastAsia" w:ascii="楷体_GB2312" w:hAnsi="楷体_GB2312" w:eastAsia="楷体_GB2312" w:cs="楷体_GB2312"/>
          <w:b/>
          <w:bCs/>
          <w:color w:val="auto"/>
          <w:spacing w:val="-4"/>
          <w:sz w:val="32"/>
          <w:szCs w:val="32"/>
          <w:highlight w:val="none"/>
          <w:lang w:val="zh-CN" w:eastAsia="zh-CN"/>
        </w:rPr>
        <w:t>坚持项目</w:t>
      </w:r>
      <w:r>
        <w:rPr>
          <w:rFonts w:hint="eastAsia" w:ascii="楷体_GB2312" w:hAnsi="楷体_GB2312" w:eastAsia="楷体_GB2312" w:cs="楷体_GB2312"/>
          <w:b/>
          <w:bCs/>
          <w:color w:val="auto"/>
          <w:spacing w:val="-4"/>
          <w:sz w:val="32"/>
          <w:szCs w:val="32"/>
          <w:highlight w:val="none"/>
          <w:lang w:val="en-US" w:eastAsia="zh-CN"/>
        </w:rPr>
        <w:t>引领支撑</w:t>
      </w:r>
      <w:r>
        <w:rPr>
          <w:rFonts w:hint="eastAsia" w:ascii="楷体_GB2312" w:hAnsi="楷体_GB2312" w:eastAsia="楷体_GB2312" w:cs="楷体_GB2312"/>
          <w:b/>
          <w:bCs/>
          <w:color w:val="auto"/>
          <w:spacing w:val="-4"/>
          <w:sz w:val="32"/>
          <w:szCs w:val="32"/>
          <w:highlight w:val="none"/>
          <w:lang w:val="zh-CN"/>
        </w:rPr>
        <w:t>，增强</w:t>
      </w:r>
      <w:r>
        <w:rPr>
          <w:rFonts w:hint="eastAsia" w:ascii="楷体_GB2312" w:hAnsi="楷体_GB2312" w:eastAsia="楷体_GB2312" w:cs="楷体_GB2312"/>
          <w:b/>
          <w:bCs/>
          <w:color w:val="auto"/>
          <w:spacing w:val="-4"/>
          <w:sz w:val="32"/>
          <w:szCs w:val="32"/>
          <w:highlight w:val="none"/>
          <w:lang w:val="en-US" w:eastAsia="zh-CN"/>
        </w:rPr>
        <w:t>整体发展效能</w:t>
      </w:r>
    </w:p>
    <w:p>
      <w:pPr>
        <w:pStyle w:val="13"/>
        <w:spacing w:after="0" w:line="600" w:lineRule="exact"/>
        <w:ind w:left="0" w:leftChars="0" w:firstLine="621"/>
        <w:rPr>
          <w:rFonts w:hint="eastAsia" w:ascii="Times New Roman" w:hAnsi="Times New Roman" w:eastAsia="仿宋_GB2312" w:cs="仿宋"/>
          <w:color w:val="auto"/>
          <w:kern w:val="0"/>
          <w:sz w:val="32"/>
          <w:szCs w:val="32"/>
          <w:highlight w:val="none"/>
          <w:lang w:val="en-US" w:eastAsia="zh-CN"/>
        </w:rPr>
      </w:pPr>
      <w:r>
        <w:rPr>
          <w:rFonts w:hint="eastAsia" w:ascii="Times New Roman" w:hAnsi="Times New Roman" w:cs="仿宋"/>
          <w:color w:val="auto"/>
          <w:kern w:val="0"/>
          <w:sz w:val="32"/>
          <w:szCs w:val="32"/>
          <w:highlight w:val="none"/>
          <w:lang w:val="en-US" w:eastAsia="zh-CN"/>
        </w:rPr>
        <w:t>聚焦</w:t>
      </w:r>
      <w:r>
        <w:rPr>
          <w:rFonts w:hint="eastAsia" w:ascii="Times New Roman" w:hAnsi="Times New Roman" w:eastAsia="仿宋_GB2312" w:cs="仿宋"/>
          <w:color w:val="auto"/>
          <w:kern w:val="0"/>
          <w:sz w:val="32"/>
          <w:szCs w:val="32"/>
          <w:highlight w:val="none"/>
          <w:lang w:val="en-US" w:eastAsia="zh-CN"/>
        </w:rPr>
        <w:t>党的二十大</w:t>
      </w:r>
      <w:bookmarkStart w:id="0" w:name="_GoBack"/>
      <w:bookmarkEnd w:id="0"/>
      <w:r>
        <w:rPr>
          <w:rFonts w:hint="eastAsia" w:ascii="Times New Roman" w:hAnsi="Times New Roman" w:eastAsia="仿宋_GB2312" w:cs="仿宋"/>
          <w:color w:val="auto"/>
          <w:kern w:val="0"/>
          <w:sz w:val="32"/>
          <w:szCs w:val="32"/>
          <w:highlight w:val="none"/>
          <w:lang w:val="en-US" w:eastAsia="zh-CN"/>
        </w:rPr>
        <w:t>释放的政策红利，精准把握国家政策，多渠道、多途径、多方式了解政策资金投向信息，掌握第一手资料，做到政策信息早知道、基础工作早动手、项目资料早报送。结合“一城引领、五区支撑”总体思路，充分发挥中央预算内投资引导带动作用，用好中长期贷款、地方政府专项债、政策性开发性金融工具，认真谋划管当前、利长远的大项目、好项目，提高工作针对性、实效性和成功率。，确保用项目建设带动地区高质量发展。</w:t>
      </w:r>
    </w:p>
    <w:p>
      <w:pPr>
        <w:keepNext w:val="0"/>
        <w:keepLines w:val="0"/>
        <w:pageBreakBefore w:val="0"/>
        <w:kinsoku/>
        <w:wordWrap/>
        <w:overflowPunct/>
        <w:topLinePunct w:val="0"/>
        <w:autoSpaceDE w:val="0"/>
        <w:autoSpaceDN w:val="0"/>
        <w:bidi w:val="0"/>
        <w:adjustRightInd w:val="0"/>
        <w:spacing w:line="560" w:lineRule="exact"/>
        <w:ind w:firstLine="627" w:firstLineChars="200"/>
        <w:jc w:val="both"/>
        <w:textAlignment w:val="auto"/>
        <w:outlineLvl w:val="1"/>
        <w:rPr>
          <w:rFonts w:ascii="楷体_GB2312" w:eastAsia="楷体_GB2312" w:cs="仿宋_GB2312"/>
          <w:b/>
          <w:bCs/>
          <w:color w:val="auto"/>
          <w:spacing w:val="-4"/>
          <w:sz w:val="32"/>
          <w:szCs w:val="32"/>
          <w:highlight w:val="none"/>
        </w:rPr>
      </w:pPr>
      <w:r>
        <w:rPr>
          <w:rFonts w:hint="eastAsia" w:ascii="楷体_GB2312" w:eastAsia="楷体_GB2312" w:cs="仿宋_GB2312"/>
          <w:b/>
          <w:bCs/>
          <w:color w:val="auto"/>
          <w:spacing w:val="-4"/>
          <w:sz w:val="32"/>
          <w:szCs w:val="32"/>
          <w:highlight w:val="none"/>
          <w:lang w:val="zh-CN"/>
        </w:rPr>
        <w:t>（</w:t>
      </w:r>
      <w:r>
        <w:rPr>
          <w:rFonts w:hint="eastAsia" w:ascii="楷体_GB2312" w:eastAsia="楷体_GB2312" w:cs="仿宋_GB2312"/>
          <w:b/>
          <w:bCs/>
          <w:color w:val="auto"/>
          <w:spacing w:val="-4"/>
          <w:sz w:val="32"/>
          <w:szCs w:val="32"/>
          <w:highlight w:val="none"/>
          <w:lang w:val="en-US" w:eastAsia="zh-CN"/>
        </w:rPr>
        <w:t>六</w:t>
      </w:r>
      <w:r>
        <w:rPr>
          <w:rFonts w:hint="eastAsia" w:ascii="楷体_GB2312" w:eastAsia="楷体_GB2312" w:cs="仿宋_GB2312"/>
          <w:b/>
          <w:bCs/>
          <w:color w:val="auto"/>
          <w:spacing w:val="-4"/>
          <w:sz w:val="32"/>
          <w:szCs w:val="32"/>
          <w:highlight w:val="none"/>
          <w:lang w:val="zh-CN"/>
        </w:rPr>
        <w:t>）</w:t>
      </w:r>
      <w:r>
        <w:rPr>
          <w:rFonts w:hint="eastAsia" w:ascii="楷体_GB2312" w:eastAsia="楷体_GB2312" w:cs="仿宋_GB2312"/>
          <w:b/>
          <w:bCs/>
          <w:color w:val="auto"/>
          <w:spacing w:val="-4"/>
          <w:sz w:val="32"/>
          <w:szCs w:val="32"/>
          <w:highlight w:val="none"/>
          <w:lang w:eastAsia="zh-CN"/>
        </w:rPr>
        <w:t>聚</w:t>
      </w:r>
      <w:r>
        <w:rPr>
          <w:rFonts w:hint="eastAsia" w:ascii="楷体_GB2312" w:eastAsia="楷体_GB2312" w:cs="仿宋_GB2312"/>
          <w:b/>
          <w:bCs/>
          <w:color w:val="auto"/>
          <w:spacing w:val="-4"/>
          <w:sz w:val="32"/>
          <w:szCs w:val="32"/>
          <w:highlight w:val="none"/>
          <w:lang w:val="en-US" w:eastAsia="zh-CN"/>
        </w:rPr>
        <w:t>焦</w:t>
      </w:r>
      <w:r>
        <w:rPr>
          <w:rFonts w:hint="eastAsia" w:ascii="楷体_GB2312" w:hAnsi="楷体_GB2312" w:eastAsia="楷体_GB2312" w:cs="楷体_GB2312"/>
          <w:b/>
          <w:bCs/>
          <w:color w:val="auto"/>
          <w:spacing w:val="-4"/>
          <w:sz w:val="32"/>
          <w:szCs w:val="32"/>
          <w:highlight w:val="none"/>
          <w:lang w:val="zh-CN"/>
        </w:rPr>
        <w:t>发展第一要务，</w:t>
      </w:r>
      <w:r>
        <w:rPr>
          <w:rFonts w:hint="eastAsia" w:ascii="楷体_GB2312" w:hAnsi="楷体_GB2312" w:eastAsia="楷体_GB2312" w:cs="楷体_GB2312"/>
          <w:b/>
          <w:bCs/>
          <w:color w:val="auto"/>
          <w:spacing w:val="-4"/>
          <w:sz w:val="32"/>
          <w:szCs w:val="32"/>
          <w:highlight w:val="none"/>
          <w:lang w:val="en-US" w:eastAsia="zh-CN"/>
        </w:rPr>
        <w:t>致力提升</w:t>
      </w:r>
      <w:r>
        <w:rPr>
          <w:rFonts w:hint="eastAsia" w:ascii="楷体_GB2312" w:hAnsi="楷体_GB2312" w:eastAsia="楷体_GB2312" w:cs="楷体_GB2312"/>
          <w:b/>
          <w:bCs/>
          <w:color w:val="auto"/>
          <w:spacing w:val="-4"/>
          <w:sz w:val="32"/>
          <w:szCs w:val="32"/>
          <w:highlight w:val="none"/>
          <w:lang w:val="zh-CN"/>
        </w:rPr>
        <w:t>综合实力</w:t>
      </w:r>
    </w:p>
    <w:p>
      <w:pPr>
        <w:keepNext w:val="0"/>
        <w:keepLines w:val="0"/>
        <w:pageBreakBefore w:val="0"/>
        <w:numPr>
          <w:ilvl w:val="0"/>
          <w:numId w:val="0"/>
        </w:numPr>
        <w:kinsoku/>
        <w:wordWrap/>
        <w:overflowPunct/>
        <w:topLinePunct w:val="0"/>
        <w:bidi w:val="0"/>
        <w:spacing w:line="560" w:lineRule="exact"/>
        <w:ind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sz w:val="32"/>
          <w:szCs w:val="32"/>
          <w:highlight w:val="none"/>
          <w:lang w:val="zh-CN" w:eastAsia="zh-CN"/>
        </w:rPr>
        <w:t>一是深入实施兴边富民行动，用好国家对</w:t>
      </w:r>
      <w:r>
        <w:rPr>
          <w:rFonts w:hint="eastAsia" w:ascii="仿宋_GB2312" w:hAnsi="仿宋_GB2312" w:eastAsia="仿宋_GB2312" w:cs="仿宋_GB2312"/>
          <w:b/>
          <w:bCs/>
          <w:color w:val="auto"/>
          <w:sz w:val="32"/>
          <w:szCs w:val="32"/>
          <w:highlight w:val="none"/>
          <w:lang w:val="en-US" w:eastAsia="zh-CN"/>
        </w:rPr>
        <w:t>边境</w:t>
      </w:r>
      <w:r>
        <w:rPr>
          <w:rFonts w:hint="eastAsia" w:ascii="仿宋_GB2312" w:hAnsi="仿宋_GB2312" w:eastAsia="仿宋_GB2312" w:cs="仿宋_GB2312"/>
          <w:b/>
          <w:bCs/>
          <w:color w:val="auto"/>
          <w:sz w:val="32"/>
          <w:szCs w:val="32"/>
          <w:highlight w:val="none"/>
          <w:lang w:val="zh-CN" w:eastAsia="zh-CN"/>
        </w:rPr>
        <w:t>地区的倾斜政策。</w:t>
      </w:r>
      <w:r>
        <w:rPr>
          <w:rFonts w:hint="eastAsia" w:cs="仿宋"/>
          <w:color w:val="auto"/>
          <w:kern w:val="0"/>
          <w:sz w:val="32"/>
          <w:szCs w:val="32"/>
          <w:highlight w:val="none"/>
          <w:lang w:val="zh-CN" w:eastAsia="zh-CN"/>
        </w:rPr>
        <w:t>严格落实“两个责任”机制，制定周密具体、切实可行的项目推进方案，力争完成</w:t>
      </w:r>
      <w:r>
        <w:rPr>
          <w:rFonts w:hint="eastAsia" w:ascii="仿宋_GB2312" w:hAnsi="仿宋_GB2312" w:eastAsia="仿宋_GB2312" w:cs="仿宋_GB2312"/>
          <w:color w:val="auto"/>
          <w:sz w:val="32"/>
          <w:szCs w:val="32"/>
          <w:highlight w:val="none"/>
          <w:lang w:val="zh-CN" w:eastAsia="zh-CN"/>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zh-CN" w:eastAsia="zh-CN"/>
        </w:rPr>
        <w:t>年</w:t>
      </w:r>
      <w:r>
        <w:rPr>
          <w:rFonts w:hint="eastAsia" w:cs="仿宋"/>
          <w:color w:val="auto"/>
          <w:kern w:val="0"/>
          <w:sz w:val="32"/>
          <w:szCs w:val="32"/>
          <w:highlight w:val="none"/>
          <w:lang w:val="zh-CN" w:eastAsia="zh-CN"/>
        </w:rPr>
        <w:t>项目建设任务，完成绩效目标。</w:t>
      </w:r>
      <w:r>
        <w:rPr>
          <w:rFonts w:hint="eastAsia" w:cs="仿宋"/>
          <w:color w:val="auto"/>
          <w:kern w:val="0"/>
          <w:sz w:val="32"/>
          <w:szCs w:val="32"/>
          <w:highlight w:val="none"/>
          <w:lang w:val="en-US" w:eastAsia="zh-CN"/>
        </w:rPr>
        <w:t>做好兴边富民评审工作，争取</w:t>
      </w:r>
      <w:r>
        <w:rPr>
          <w:rFonts w:hint="eastAsia" w:ascii="仿宋_GB2312" w:hAnsi="仿宋_GB2312" w:eastAsia="仿宋_GB2312" w:cs="仿宋_GB2312"/>
          <w:color w:val="auto"/>
          <w:sz w:val="32"/>
          <w:szCs w:val="32"/>
          <w:highlight w:val="none"/>
          <w:lang w:val="en-US" w:eastAsia="zh-CN"/>
        </w:rPr>
        <w:t>2023年</w:t>
      </w:r>
      <w:r>
        <w:rPr>
          <w:rFonts w:hint="eastAsia" w:cs="仿宋"/>
          <w:color w:val="auto"/>
          <w:kern w:val="0"/>
          <w:sz w:val="32"/>
          <w:szCs w:val="32"/>
          <w:highlight w:val="none"/>
          <w:lang w:val="en-US" w:eastAsia="zh-CN"/>
        </w:rPr>
        <w:t>兴边富民专项下达资金不低</w:t>
      </w:r>
      <w:r>
        <w:rPr>
          <w:rFonts w:hint="eastAsia" w:ascii="仿宋_GB2312" w:hAnsi="仿宋_GB2312" w:eastAsia="仿宋_GB2312" w:cs="仿宋_GB2312"/>
          <w:color w:val="auto"/>
          <w:sz w:val="32"/>
          <w:szCs w:val="32"/>
          <w:highlight w:val="none"/>
          <w:lang w:val="en-US" w:eastAsia="zh-CN"/>
        </w:rPr>
        <w:t>于1.5亿元</w:t>
      </w:r>
      <w:r>
        <w:rPr>
          <w:rFonts w:hint="eastAsia" w:cs="仿宋"/>
          <w:color w:val="auto"/>
          <w:kern w:val="0"/>
          <w:sz w:val="32"/>
          <w:szCs w:val="32"/>
          <w:highlight w:val="none"/>
          <w:lang w:val="en-US" w:eastAsia="zh-CN"/>
        </w:rPr>
        <w:t>。</w:t>
      </w:r>
      <w:r>
        <w:rPr>
          <w:rFonts w:hint="eastAsia" w:ascii="仿宋_GB2312" w:hAnsi="仿宋_GB2312" w:cs="仿宋_GB2312"/>
          <w:b/>
          <w:bCs/>
          <w:color w:val="auto"/>
          <w:sz w:val="32"/>
          <w:szCs w:val="32"/>
          <w:highlight w:val="none"/>
          <w:lang w:val="en-US" w:eastAsia="zh-CN"/>
        </w:rPr>
        <w:t>二是</w:t>
      </w:r>
      <w:r>
        <w:rPr>
          <w:rFonts w:hint="eastAsia" w:ascii="仿宋_GB2312" w:hAnsi="仿宋_GB2312" w:eastAsia="仿宋_GB2312" w:cs="仿宋_GB2312"/>
          <w:b/>
          <w:bCs/>
          <w:color w:val="auto"/>
          <w:sz w:val="32"/>
          <w:szCs w:val="32"/>
          <w:highlight w:val="none"/>
          <w:lang w:val="en-US" w:eastAsia="zh-CN"/>
        </w:rPr>
        <w:t>致力刷新招商引资新思路，助力县域经济高质量发展</w:t>
      </w:r>
      <w:r>
        <w:rPr>
          <w:rFonts w:hint="eastAsia" w:ascii="仿宋_GB2312" w:hAnsi="仿宋_GB2312" w:eastAsia="仿宋_GB2312" w:cs="仿宋_GB2312"/>
          <w:b/>
          <w:bCs/>
          <w:color w:val="auto"/>
          <w:sz w:val="32"/>
          <w:szCs w:val="32"/>
          <w:highlight w:val="none"/>
        </w:rPr>
        <w:t>。</w:t>
      </w:r>
      <w:r>
        <w:rPr>
          <w:rFonts w:hint="eastAsia" w:cs="仿宋"/>
          <w:color w:val="auto"/>
          <w:kern w:val="0"/>
          <w:sz w:val="32"/>
          <w:szCs w:val="32"/>
          <w:highlight w:val="none"/>
          <w:lang w:val="en-US" w:eastAsia="zh-CN"/>
        </w:rPr>
        <w:t>确保</w:t>
      </w:r>
      <w:r>
        <w:rPr>
          <w:rFonts w:hint="eastAsia" w:ascii="仿宋_GB2312" w:hAnsi="仿宋_GB2312" w:eastAsia="仿宋_GB2312" w:cs="仿宋_GB2312"/>
          <w:color w:val="auto"/>
          <w:sz w:val="32"/>
          <w:szCs w:val="32"/>
          <w:highlight w:val="none"/>
          <w:lang w:val="en-US" w:eastAsia="zh-CN"/>
        </w:rPr>
        <w:t>2023年完</w:t>
      </w:r>
      <w:r>
        <w:rPr>
          <w:rFonts w:hint="eastAsia" w:cs="仿宋"/>
          <w:color w:val="auto"/>
          <w:kern w:val="0"/>
          <w:sz w:val="32"/>
          <w:szCs w:val="32"/>
          <w:highlight w:val="none"/>
          <w:lang w:val="en-US" w:eastAsia="zh-CN"/>
        </w:rPr>
        <w:t>成盟级下达招商引资指标数。继续以生态优先绿色发展为导向，做到“四季搞合作、全年抓招商”。聚焦旅游、康养、矿泉等重点领域加大招商引资力度。通过以商引商、节庆招商、云推介招商等方式，做好招商线索挖掘、企业考察、对接洽谈、项目落地等系列工作。优化营商环境，强化服务意识，不断提升经济发展软实力。</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lang w:val="zh-CN" w:eastAsia="zh-CN"/>
        </w:rPr>
        <w:t>是全力争创国家级旅游度假区，打造生态文化旅游新名片。</w:t>
      </w:r>
      <w:r>
        <w:rPr>
          <w:rFonts w:hint="eastAsia" w:cs="仿宋"/>
          <w:color w:val="auto"/>
          <w:kern w:val="0"/>
          <w:sz w:val="32"/>
          <w:szCs w:val="32"/>
          <w:highlight w:val="none"/>
          <w:lang w:val="zh-CN" w:eastAsia="zh-CN"/>
        </w:rPr>
        <w:t>以协同发展理念推进全域旅游发展，在体制机制上要联动、在产业发展上要融合、在旅游资源上要统筹，</w:t>
      </w:r>
      <w:r>
        <w:rPr>
          <w:rFonts w:hint="eastAsia" w:cs="仿宋"/>
          <w:color w:val="auto"/>
          <w:kern w:val="0"/>
          <w:sz w:val="32"/>
          <w:szCs w:val="32"/>
          <w:highlight w:val="none"/>
          <w:lang w:val="en-US" w:eastAsia="zh-CN"/>
        </w:rPr>
        <w:t>按照创区要求，积极完成</w:t>
      </w:r>
      <w:r>
        <w:rPr>
          <w:rFonts w:hint="eastAsia" w:cs="仿宋"/>
          <w:color w:val="auto"/>
          <w:kern w:val="0"/>
          <w:sz w:val="32"/>
          <w:szCs w:val="32"/>
          <w:highlight w:val="none"/>
          <w:lang w:val="zh-CN" w:eastAsia="zh-CN"/>
        </w:rPr>
        <w:t>服务品质提升和资料搜集、资料编制和报审、</w:t>
      </w:r>
      <w:r>
        <w:rPr>
          <w:rFonts w:hint="eastAsia" w:cs="仿宋"/>
          <w:color w:val="auto"/>
          <w:kern w:val="0"/>
          <w:sz w:val="32"/>
          <w:szCs w:val="32"/>
          <w:highlight w:val="none"/>
          <w:lang w:val="en-US" w:eastAsia="zh-CN"/>
        </w:rPr>
        <w:t>模拟验收、申报</w:t>
      </w:r>
      <w:r>
        <w:rPr>
          <w:rFonts w:hint="eastAsia" w:cs="仿宋"/>
          <w:color w:val="auto"/>
          <w:kern w:val="0"/>
          <w:sz w:val="32"/>
          <w:szCs w:val="32"/>
          <w:highlight w:val="none"/>
          <w:lang w:val="zh-CN" w:eastAsia="zh-CN"/>
        </w:rPr>
        <w:t>验收</w:t>
      </w:r>
      <w:r>
        <w:rPr>
          <w:rFonts w:hint="eastAsia" w:cs="仿宋"/>
          <w:color w:val="auto"/>
          <w:kern w:val="0"/>
          <w:sz w:val="32"/>
          <w:szCs w:val="32"/>
          <w:highlight w:val="none"/>
          <w:lang w:val="en-US" w:eastAsia="zh-CN"/>
        </w:rPr>
        <w:t>四个阶段的目标任务，</w:t>
      </w:r>
      <w:r>
        <w:rPr>
          <w:rFonts w:hint="eastAsia" w:cs="仿宋"/>
          <w:color w:val="auto"/>
          <w:kern w:val="0"/>
          <w:sz w:val="32"/>
          <w:szCs w:val="32"/>
          <w:highlight w:val="none"/>
          <w:lang w:val="zh-CN" w:eastAsia="zh-CN"/>
        </w:rPr>
        <w:t>以更高标准、更高质量坚决完成国家级旅游度假区创建工作。</w:t>
      </w:r>
    </w:p>
    <w:p>
      <w:pPr>
        <w:keepNext w:val="0"/>
        <w:keepLines w:val="0"/>
        <w:pageBreakBefore w:val="0"/>
        <w:kinsoku/>
        <w:wordWrap/>
        <w:overflowPunct/>
        <w:topLinePunct w:val="0"/>
        <w:autoSpaceDE w:val="0"/>
        <w:autoSpaceDN w:val="0"/>
        <w:bidi w:val="0"/>
        <w:adjustRightInd w:val="0"/>
        <w:spacing w:line="560" w:lineRule="exact"/>
        <w:ind w:firstLine="643" w:firstLineChars="200"/>
        <w:jc w:val="both"/>
        <w:textAlignment w:val="auto"/>
        <w:outlineLvl w:val="1"/>
        <w:rPr>
          <w:rFonts w:hint="default" w:ascii="楷体_GB2312" w:eastAsia="楷体_GB2312" w:cs="仿宋_GB2312"/>
          <w:b/>
          <w:bCs/>
          <w:color w:val="auto"/>
          <w:spacing w:val="-11"/>
          <w:w w:val="100"/>
          <w:sz w:val="32"/>
          <w:szCs w:val="32"/>
          <w:highlight w:val="none"/>
          <w:lang w:val="en-US" w:eastAsia="zh-CN"/>
        </w:rPr>
      </w:pPr>
      <w:r>
        <w:rPr>
          <w:rFonts w:hint="eastAsia" w:ascii="楷体_GB2312" w:hAnsi="楷体_GB2312" w:eastAsia="楷体_GB2312" w:cs="楷体_GB2312"/>
          <w:b/>
          <w:bCs w:val="0"/>
          <w:color w:val="auto"/>
          <w:sz w:val="32"/>
          <w:szCs w:val="32"/>
          <w:highlight w:val="none"/>
          <w:lang w:val="en-US" w:eastAsia="zh-CN"/>
        </w:rPr>
        <w:t>（七）保持绿色生态优势</w:t>
      </w:r>
      <w:r>
        <w:rPr>
          <w:rFonts w:hint="eastAsia" w:ascii="楷体_GB2312" w:hAnsi="楷体_GB2312" w:eastAsia="楷体_GB2312" w:cs="楷体_GB2312"/>
          <w:b/>
          <w:bCs/>
          <w:color w:val="auto"/>
          <w:spacing w:val="-4"/>
          <w:sz w:val="32"/>
          <w:szCs w:val="32"/>
          <w:highlight w:val="none"/>
          <w:lang w:val="en-US" w:eastAsia="zh-CN"/>
        </w:rPr>
        <w:t>，厚植发展坚韧动力</w:t>
      </w:r>
    </w:p>
    <w:p>
      <w:pPr>
        <w:keepNext w:val="0"/>
        <w:keepLines w:val="0"/>
        <w:pageBreakBefore w:val="0"/>
        <w:widowControl/>
        <w:suppressLineNumbers w:val="0"/>
        <w:kinsoku/>
        <w:wordWrap/>
        <w:overflowPunct/>
        <w:topLinePunct w:val="0"/>
        <w:bidi w:val="0"/>
        <w:spacing w:line="560" w:lineRule="exact"/>
        <w:ind w:firstLine="640" w:firstLineChars="200"/>
        <w:jc w:val="both"/>
        <w:rPr>
          <w:rFonts w:hint="eastAsia" w:cs="仿宋"/>
          <w:color w:val="auto"/>
          <w:kern w:val="0"/>
          <w:sz w:val="32"/>
          <w:szCs w:val="32"/>
          <w:highlight w:val="none"/>
          <w:lang w:val="en-US" w:eastAsia="zh-CN"/>
        </w:rPr>
      </w:pPr>
      <w:r>
        <w:rPr>
          <w:rFonts w:hint="eastAsia" w:cs="仿宋"/>
          <w:color w:val="auto"/>
          <w:kern w:val="0"/>
          <w:sz w:val="32"/>
          <w:szCs w:val="32"/>
          <w:highlight w:val="none"/>
          <w:lang w:val="en-US" w:eastAsia="zh-CN"/>
        </w:rPr>
        <w:t>深入贯彻落实“绿水青山就是金山银山”理念，持续巩固提升生态文明建设成果。全面推进科学绿化、精准提升森林管护质量，在新造林和森林经营等活动中积极探索和实施固碳增汇措施和技术，积极构建阿尔山市国有林区森林碳库。完成4万亩森林抚育项目。持续优化生态环境。加强大气、水、土壤污染防治工作。落实能耗双控目标，筑牢绿色生态根基。创造条件尽早实现能耗“双控”向碳排放总量和强度“双控”转变，加快形成减污降碳的激励约束机制。</w:t>
      </w:r>
    </w:p>
    <w:p>
      <w:pPr>
        <w:keepNext w:val="0"/>
        <w:keepLines w:val="0"/>
        <w:pageBreakBefore w:val="0"/>
        <w:kinsoku/>
        <w:wordWrap/>
        <w:overflowPunct/>
        <w:topLinePunct w:val="0"/>
        <w:bidi w:val="0"/>
        <w:spacing w:line="560" w:lineRule="exact"/>
        <w:ind w:firstLine="643" w:firstLineChars="200"/>
        <w:jc w:val="both"/>
        <w:textAlignment w:val="auto"/>
        <w:outlineLvl w:val="1"/>
        <w:rPr>
          <w:rStyle w:val="39"/>
          <w:rFonts w:hint="default" w:ascii="楷体_GB2312" w:hAnsi="楷体_GB2312" w:eastAsia="楷体_GB2312" w:cs="楷体_GB2312"/>
          <w:color w:val="auto"/>
          <w:highlight w:val="none"/>
          <w:lang w:val="en-US"/>
        </w:rPr>
      </w:pPr>
      <w:r>
        <w:rPr>
          <w:rStyle w:val="39"/>
          <w:rFonts w:hint="eastAsia" w:ascii="楷体_GB2312" w:hAnsi="楷体_GB2312" w:eastAsia="楷体_GB2312" w:cs="楷体_GB2312"/>
          <w:color w:val="auto"/>
          <w:highlight w:val="none"/>
        </w:rPr>
        <w:t>（</w:t>
      </w:r>
      <w:r>
        <w:rPr>
          <w:rStyle w:val="39"/>
          <w:rFonts w:hint="eastAsia" w:ascii="楷体_GB2312" w:hAnsi="楷体_GB2312" w:eastAsia="楷体_GB2312" w:cs="楷体_GB2312"/>
          <w:color w:val="auto"/>
          <w:highlight w:val="none"/>
          <w:lang w:val="en-US" w:eastAsia="zh-CN"/>
        </w:rPr>
        <w:t>八</w:t>
      </w:r>
      <w:r>
        <w:rPr>
          <w:rStyle w:val="39"/>
          <w:rFonts w:hint="eastAsia" w:ascii="楷体_GB2312" w:hAnsi="楷体_GB2312" w:eastAsia="楷体_GB2312" w:cs="楷体_GB2312"/>
          <w:color w:val="auto"/>
          <w:highlight w:val="none"/>
        </w:rPr>
        <w:t>）</w:t>
      </w:r>
      <w:r>
        <w:rPr>
          <w:rStyle w:val="39"/>
          <w:rFonts w:hint="eastAsia" w:ascii="楷体_GB2312" w:hAnsi="楷体_GB2312" w:eastAsia="楷体_GB2312" w:cs="楷体_GB2312"/>
          <w:color w:val="auto"/>
          <w:highlight w:val="none"/>
          <w:lang w:val="en-US" w:eastAsia="zh-CN"/>
        </w:rPr>
        <w:t>始终不渝为民初心，共享发展丰硕成果</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both"/>
        <w:textAlignment w:val="auto"/>
        <w:outlineLvl w:val="9"/>
        <w:rPr>
          <w:rFonts w:hint="eastAsia" w:ascii="仿宋_GB2312" w:hAnsi="仿宋_GB2312" w:eastAsia="仿宋_GB2312" w:cs="仿宋_GB2312"/>
          <w:b w:val="0"/>
          <w:bCs/>
          <w:color w:val="auto"/>
          <w:kern w:val="44"/>
          <w:sz w:val="32"/>
          <w:szCs w:val="32"/>
          <w:highlight w:val="none"/>
          <w:lang w:val="en-US" w:eastAsia="zh-CN"/>
        </w:rPr>
      </w:pPr>
      <w:r>
        <w:rPr>
          <w:rFonts w:hint="eastAsia" w:cs="仿宋"/>
          <w:color w:val="auto"/>
          <w:kern w:val="0"/>
          <w:sz w:val="32"/>
          <w:szCs w:val="32"/>
          <w:highlight w:val="none"/>
          <w:lang w:val="en-US" w:eastAsia="zh-CN"/>
        </w:rPr>
        <w:t>在教育、医疗、养老、住房等人民群众最关心的领域精准提供基本公共服务。加快建设阿尔山市大学生创新创业园，为我市返乡大学生提供创业平台，落实“五育并举”，继续加强“五项管理”，</w:t>
      </w:r>
      <w:r>
        <w:rPr>
          <w:rFonts w:hint="eastAsia" w:cs="仿宋"/>
          <w:color w:val="auto"/>
          <w:kern w:val="0"/>
          <w:sz w:val="32"/>
          <w:szCs w:val="32"/>
          <w:highlight w:val="none"/>
          <w:lang w:val="zh-CN" w:eastAsia="zh-CN"/>
        </w:rPr>
        <w:t>完成阿尔山市第一、第四幼儿园附属设施建设项目，推进”</w:t>
      </w:r>
      <w:r>
        <w:rPr>
          <w:rFonts w:hint="eastAsia" w:ascii="仿宋_GB2312" w:hAnsi="仿宋_GB2312" w:eastAsia="仿宋_GB2312" w:cs="仿宋_GB2312"/>
          <w:color w:val="auto"/>
          <w:sz w:val="32"/>
          <w:szCs w:val="32"/>
          <w:highlight w:val="none"/>
          <w:lang w:val="zh-CN" w:eastAsia="zh-CN"/>
        </w:rPr>
        <w:t>5G+新</w:t>
      </w:r>
      <w:r>
        <w:rPr>
          <w:rFonts w:hint="eastAsia" w:cs="仿宋"/>
          <w:color w:val="auto"/>
          <w:kern w:val="0"/>
          <w:sz w:val="32"/>
          <w:szCs w:val="32"/>
          <w:highlight w:val="none"/>
          <w:lang w:val="zh-CN" w:eastAsia="zh-CN"/>
        </w:rPr>
        <w:t>基建</w:t>
      </w:r>
      <w:r>
        <w:rPr>
          <w:rFonts w:hint="default" w:cs="仿宋"/>
          <w:color w:val="auto"/>
          <w:kern w:val="0"/>
          <w:sz w:val="32"/>
          <w:szCs w:val="32"/>
          <w:highlight w:val="none"/>
          <w:lang w:val="en-US" w:eastAsia="zh-CN"/>
        </w:rPr>
        <w:t>智慧</w:t>
      </w:r>
      <w:r>
        <w:rPr>
          <w:rFonts w:hint="eastAsia" w:cs="仿宋"/>
          <w:color w:val="auto"/>
          <w:kern w:val="0"/>
          <w:sz w:val="32"/>
          <w:szCs w:val="32"/>
          <w:highlight w:val="none"/>
          <w:lang w:val="zh-CN" w:eastAsia="zh-CN"/>
        </w:rPr>
        <w:t>教育”示范区建设工作，</w:t>
      </w:r>
      <w:r>
        <w:rPr>
          <w:rFonts w:hint="eastAsia" w:cs="仿宋"/>
          <w:color w:val="auto"/>
          <w:kern w:val="0"/>
          <w:sz w:val="32"/>
          <w:szCs w:val="32"/>
          <w:highlight w:val="none"/>
          <w:lang w:val="en-US" w:eastAsia="zh-CN"/>
        </w:rPr>
        <w:t>逐步提高教育吸引力、促进学生全面发展。稳步推进健康阿尔山行动，积极开展国家卫生城镇和卫生乡镇创建工作，将中医适宜技术继续向基层推广。把握新形势新任务，将疫情防控的工作重心从防控感染转到医疗救治方面。持续深化医药卫生体制与公立医院改革工作。开办广场舞、书法、摄影、非遗等培训班、举办各类“全民健身”活动，组织开展文化“三下乡”惠民演出，日益丰富市民文化生活。积极推进阿尔山市殡仪馆配套设施建设、社会福利中心护理能力提升等项目。进一步健全完善价格监测体系和监测预警机制，防范市场价格异常波动；高度重视消防、信访、维稳和安全生产工作，推进科技、文化、广播电视、双拥、气象、防灾减灾、残联等各项社会事业同步发展。</w:t>
      </w:r>
    </w:p>
    <w:p>
      <w:pPr>
        <w:keepNext w:val="0"/>
        <w:keepLines w:val="0"/>
        <w:pageBreakBefore w:val="0"/>
        <w:widowControl/>
        <w:shd w:val="clear" w:color="auto" w:fill="FFFFFF"/>
        <w:kinsoku/>
        <w:wordWrap/>
        <w:overflowPunct/>
        <w:topLinePunct w:val="0"/>
        <w:bidi w:val="0"/>
        <w:spacing w:beforeAutospacing="0" w:afterAutospacing="0" w:line="560" w:lineRule="exact"/>
        <w:ind w:firstLine="722"/>
        <w:jc w:val="both"/>
        <w:textAlignment w:val="auto"/>
        <w:outlineLvl w:val="9"/>
        <w:rPr>
          <w:rFonts w:hint="eastAsia" w:ascii="仿宋_GB2312" w:hAnsi="仿宋_GB2312" w:cs="仿宋_GB2312"/>
          <w:b w:val="0"/>
          <w:bCs/>
          <w:color w:val="auto"/>
          <w:kern w:val="44"/>
          <w:sz w:val="32"/>
          <w:szCs w:val="32"/>
          <w:highlight w:val="none"/>
          <w:lang w:val="en-US" w:eastAsia="zh-CN"/>
        </w:rPr>
      </w:pPr>
      <w:r>
        <w:rPr>
          <w:rFonts w:hint="eastAsia" w:cs="仿宋"/>
          <w:color w:val="auto"/>
          <w:kern w:val="0"/>
          <w:sz w:val="32"/>
          <w:szCs w:val="32"/>
          <w:highlight w:val="none"/>
          <w:lang w:val="en-US" w:eastAsia="zh-CN"/>
        </w:rPr>
        <w:t>各位代表，</w:t>
      </w:r>
      <w:r>
        <w:rPr>
          <w:rFonts w:hint="eastAsia" w:ascii="仿宋_GB2312" w:hAnsi="仿宋_GB2312" w:eastAsia="仿宋_GB2312" w:cs="仿宋_GB2312"/>
          <w:color w:val="auto"/>
          <w:sz w:val="32"/>
          <w:szCs w:val="32"/>
          <w:highlight w:val="none"/>
          <w:lang w:val="en-US" w:eastAsia="zh-CN"/>
        </w:rPr>
        <w:t>2023年</w:t>
      </w:r>
      <w:r>
        <w:rPr>
          <w:rFonts w:hint="eastAsia" w:cs="仿宋"/>
          <w:color w:val="auto"/>
          <w:kern w:val="0"/>
          <w:sz w:val="32"/>
          <w:szCs w:val="32"/>
          <w:highlight w:val="none"/>
          <w:lang w:val="en-US" w:eastAsia="zh-CN"/>
        </w:rPr>
        <w:t>，让我们在市委、政府的正确领导和市人大、政协的监督支持下，以习近平新时代中国特色社会主义思想为指引，深入学习贯彻落实党的二十大精神，坚持稳中求进工作总基调，贯彻新发展理念，加快构建新发展格局，推动高质量发展，狠抓政策落实，积极扩大有效需求，稳就业稳物价，持续保障改善民生，巩固经济恢复基础，努力完成国民经济和社会发展的各项目标和任务，为开创阿尔山市经济社会发展新局面作出更大贡献！</w:t>
      </w:r>
    </w:p>
    <w:p>
      <w:pPr>
        <w:keepNext w:val="0"/>
        <w:keepLines w:val="0"/>
        <w:pageBreakBefore w:val="0"/>
        <w:widowControl/>
        <w:shd w:val="clear" w:color="auto" w:fill="FFFFFF"/>
        <w:kinsoku/>
        <w:wordWrap/>
        <w:overflowPunct/>
        <w:topLinePunct w:val="0"/>
        <w:bidi w:val="0"/>
        <w:spacing w:beforeAutospacing="0" w:afterAutospacing="0" w:line="560" w:lineRule="exact"/>
        <w:ind w:firstLine="722"/>
        <w:jc w:val="both"/>
        <w:textAlignment w:val="auto"/>
        <w:outlineLvl w:val="9"/>
        <w:rPr>
          <w:rFonts w:hint="eastAsia"/>
          <w:lang w:val="zh-CN"/>
        </w:rPr>
      </w:pPr>
    </w:p>
    <w:sectPr>
      <w:footerReference r:id="rId3" w:type="default"/>
      <w:pgSz w:w="11905" w:h="16838" w:orient="landscape"/>
      <w:pgMar w:top="1440" w:right="1797" w:bottom="1440" w:left="1797"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23DDCB3-FA5E-47EE-A068-54F2E0B2EDFA}"/>
  </w:font>
  <w:font w:name="黑体">
    <w:panose1 w:val="02010609060101010101"/>
    <w:charset w:val="86"/>
    <w:family w:val="auto"/>
    <w:pitch w:val="default"/>
    <w:sig w:usb0="800002BF" w:usb1="38CF7CFA" w:usb2="00000016" w:usb3="00000000" w:csb0="00040001" w:csb1="00000000"/>
    <w:embedRegular r:id="rId2" w:fontKey="{852CFBEC-CB3B-4943-B475-B7A0E6F196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E44DE0D1-20D6-4B76-B258-0BF2700A255F}"/>
  </w:font>
  <w:font w:name="方正小标宋简体">
    <w:panose1 w:val="02000000000000000000"/>
    <w:charset w:val="86"/>
    <w:family w:val="auto"/>
    <w:pitch w:val="default"/>
    <w:sig w:usb0="00000001" w:usb1="08000000" w:usb2="00000000" w:usb3="00000000" w:csb0="00040000" w:csb1="00000000"/>
    <w:embedRegular r:id="rId4" w:fontKey="{17BC0087-EC74-4187-9EF2-7C30DD2FCCF2}"/>
  </w:font>
  <w:font w:name="楷体_GB2312">
    <w:panose1 w:val="02010609030101010101"/>
    <w:charset w:val="86"/>
    <w:family w:val="modern"/>
    <w:pitch w:val="default"/>
    <w:sig w:usb0="00000001" w:usb1="080E0000" w:usb2="00000000" w:usb3="00000000" w:csb0="00040000" w:csb1="00000000"/>
    <w:embedRegular r:id="rId5" w:fontKey="{1DA4D99A-B18B-4FF1-BB59-8876123E85B0}"/>
  </w:font>
  <w:font w:name="仿宋">
    <w:panose1 w:val="02010609060101010101"/>
    <w:charset w:val="86"/>
    <w:family w:val="modern"/>
    <w:pitch w:val="default"/>
    <w:sig w:usb0="800002BF" w:usb1="38CF7CFA" w:usb2="00000016" w:usb3="00000000" w:csb0="00040001" w:csb1="00000000"/>
    <w:embedRegular r:id="rId6" w:fontKey="{83CEA2DF-8EC2-4A69-BC74-69E0CC9B8011}"/>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大标宋简体">
    <w:panose1 w:val="02000000000000000000"/>
    <w:charset w:val="86"/>
    <w:family w:val="auto"/>
    <w:pitch w:val="default"/>
    <w:sig w:usb0="A00002BF" w:usb1="184F6CFA" w:usb2="00000012" w:usb3="00000000" w:csb0="00040001" w:csb1="00000000"/>
    <w:embedRegular r:id="rId7" w:fontKey="{3AE35184-22B9-4F86-8698-18B6D8C0AB36}"/>
  </w:font>
  <w:font w:name="楷体">
    <w:panose1 w:val="02010609060101010101"/>
    <w:charset w:val="86"/>
    <w:family w:val="auto"/>
    <w:pitch w:val="default"/>
    <w:sig w:usb0="800002BF" w:usb1="38CF7CFA" w:usb2="00000016" w:usb3="00000000" w:csb0="00040001" w:csb1="00000000"/>
    <w:embedRegular r:id="rId8" w:fontKey="{B5DCFC2C-5264-40FE-AF0D-B76A327412C6}"/>
  </w:font>
  <w:font w:name="华文仿宋">
    <w:panose1 w:val="02010600040101010101"/>
    <w:charset w:val="86"/>
    <w:family w:val="auto"/>
    <w:pitch w:val="default"/>
    <w:sig w:usb0="00000287" w:usb1="080F0000" w:usb2="00000000" w:usb3="00000000" w:csb0="0004009F" w:csb1="DFD70000"/>
    <w:embedRegular r:id="rId9" w:fontKey="{EAC763CF-DF59-46EC-B5E5-E6A06B886C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7"/>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bookFoldPrinting w:val="1"/>
  <w:bookFoldPrintingSheets w:val="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Mjk1NDk2NTE1YzkwOGQ1M2NhNjA0OTQ2YjUzYTYifQ=="/>
  </w:docVars>
  <w:rsids>
    <w:rsidRoot w:val="00000000"/>
    <w:rsid w:val="000C67AC"/>
    <w:rsid w:val="00673631"/>
    <w:rsid w:val="061941DB"/>
    <w:rsid w:val="072021EF"/>
    <w:rsid w:val="0E091F38"/>
    <w:rsid w:val="0EB2020F"/>
    <w:rsid w:val="0ED934D7"/>
    <w:rsid w:val="126805D2"/>
    <w:rsid w:val="12F54926"/>
    <w:rsid w:val="13992BE4"/>
    <w:rsid w:val="15170610"/>
    <w:rsid w:val="1A4068C7"/>
    <w:rsid w:val="1FDA7FE0"/>
    <w:rsid w:val="22DB78DD"/>
    <w:rsid w:val="28E57B42"/>
    <w:rsid w:val="2BBC7471"/>
    <w:rsid w:val="343C2C6F"/>
    <w:rsid w:val="39DC5FBD"/>
    <w:rsid w:val="3DA51109"/>
    <w:rsid w:val="3E4203B8"/>
    <w:rsid w:val="439F5B10"/>
    <w:rsid w:val="43AA2C88"/>
    <w:rsid w:val="45EE7529"/>
    <w:rsid w:val="4BE62773"/>
    <w:rsid w:val="55F47F26"/>
    <w:rsid w:val="56093A85"/>
    <w:rsid w:val="56F83CE7"/>
    <w:rsid w:val="57BE03C2"/>
    <w:rsid w:val="5DF512C8"/>
    <w:rsid w:val="64EF09EB"/>
    <w:rsid w:val="666A19E3"/>
    <w:rsid w:val="69BF11F6"/>
    <w:rsid w:val="6A805D03"/>
    <w:rsid w:val="6E6B7334"/>
    <w:rsid w:val="6FA23C22"/>
    <w:rsid w:val="7CAC1243"/>
    <w:rsid w:val="7F5F07EF"/>
    <w:rsid w:val="7FB45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1"/>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方正小标宋简体"/>
      <w:b/>
      <w:kern w:val="44"/>
      <w:sz w:val="44"/>
      <w:szCs w:val="48"/>
    </w:rPr>
  </w:style>
  <w:style w:type="paragraph" w:styleId="4">
    <w:name w:val="heading 2"/>
    <w:basedOn w:val="1"/>
    <w:next w:val="1"/>
    <w:link w:val="38"/>
    <w:qFormat/>
    <w:uiPriority w:val="0"/>
    <w:pPr>
      <w:keepNext/>
      <w:keepLines/>
      <w:spacing w:before="260" w:after="260" w:line="240" w:lineRule="auto"/>
      <w:outlineLvl w:val="1"/>
    </w:pPr>
    <w:rPr>
      <w:rFonts w:ascii="Arial" w:hAnsi="Arial" w:eastAsia="黑体"/>
      <w:b/>
      <w:bCs/>
      <w:szCs w:val="32"/>
    </w:rPr>
  </w:style>
  <w:style w:type="paragraph" w:styleId="5">
    <w:name w:val="heading 3"/>
    <w:basedOn w:val="1"/>
    <w:next w:val="1"/>
    <w:link w:val="39"/>
    <w:qFormat/>
    <w:uiPriority w:val="9"/>
    <w:pPr>
      <w:spacing w:before="260" w:after="260" w:line="415" w:lineRule="auto"/>
      <w:outlineLvl w:val="2"/>
    </w:pPr>
    <w:rPr>
      <w:rFonts w:eastAsia="楷体_GB2312"/>
      <w:b/>
      <w:bCs/>
      <w:szCs w:val="32"/>
    </w:rPr>
  </w:style>
  <w:style w:type="paragraph" w:styleId="6">
    <w:name w:val="heading 4"/>
    <w:basedOn w:val="1"/>
    <w:next w:val="1"/>
    <w:qFormat/>
    <w:uiPriority w:val="0"/>
    <w:pPr>
      <w:keepNext/>
      <w:keepLines/>
      <w:spacing w:before="280" w:beforeAutospacing="0" w:after="290" w:afterAutospacing="0" w:line="372" w:lineRule="auto"/>
      <w:outlineLvl w:val="3"/>
    </w:pPr>
    <w:rPr>
      <w:rFonts w:ascii="Arial" w:hAnsi="Arial" w:eastAsia="仿宋_GB2312"/>
      <w:b/>
      <w:sz w:val="32"/>
    </w:rPr>
  </w:style>
  <w:style w:type="character" w:default="1" w:styleId="19">
    <w:name w:val="Default Paragraph Font"/>
    <w:qFormat/>
    <w:uiPriority w:val="0"/>
  </w:style>
  <w:style w:type="table" w:default="1" w:styleId="18">
    <w:name w:val="Normal Table"/>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Arial" w:hAnsi="Arial"/>
      <w:b/>
      <w:sz w:val="32"/>
    </w:rPr>
  </w:style>
  <w:style w:type="paragraph" w:styleId="7">
    <w:name w:val="Normal Indent"/>
    <w:basedOn w:val="1"/>
    <w:qFormat/>
    <w:uiPriority w:val="0"/>
    <w:pPr>
      <w:ind w:firstLine="420" w:firstLineChars="200"/>
    </w:pPr>
  </w:style>
  <w:style w:type="paragraph" w:styleId="8">
    <w:name w:val="annotation text"/>
    <w:basedOn w:val="1"/>
    <w:qFormat/>
    <w:uiPriority w:val="0"/>
    <w:pPr>
      <w:jc w:val="left"/>
    </w:pPr>
  </w:style>
  <w:style w:type="paragraph" w:styleId="9">
    <w:name w:val="Body Text"/>
    <w:basedOn w:val="1"/>
    <w:next w:val="10"/>
    <w:qFormat/>
    <w:uiPriority w:val="0"/>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Indent"/>
    <w:basedOn w:val="1"/>
    <w:next w:val="9"/>
    <w:qFormat/>
    <w:uiPriority w:val="0"/>
    <w:pPr>
      <w:ind w:left="420" w:leftChars="200"/>
    </w:pPr>
  </w:style>
  <w:style w:type="paragraph" w:styleId="12">
    <w:name w:val="Plain Text"/>
    <w:basedOn w:val="1"/>
    <w:qFormat/>
    <w:uiPriority w:val="0"/>
    <w:pPr>
      <w:widowControl w:val="0"/>
      <w:adjustRightInd/>
      <w:snapToGrid/>
      <w:spacing w:after="0" w:line="600" w:lineRule="exact"/>
      <w:ind w:firstLine="912" w:firstLineChars="200"/>
      <w:jc w:val="both"/>
    </w:pPr>
    <w:rPr>
      <w:rFonts w:ascii="宋体" w:hAnsi="Courier New" w:eastAsia="仿宋" w:cs="Times New Roman"/>
      <w:kern w:val="2"/>
      <w:sz w:val="32"/>
      <w:szCs w:val="24"/>
    </w:rPr>
  </w:style>
  <w:style w:type="paragraph" w:styleId="13">
    <w:name w:val="Body Text Indent 2"/>
    <w:basedOn w:val="1"/>
    <w:qFormat/>
    <w:uiPriority w:val="0"/>
    <w:pPr>
      <w:spacing w:after="120" w:line="480" w:lineRule="auto"/>
      <w:ind w:left="420" w:leftChars="200"/>
    </w:pPr>
    <w:rPr>
      <w:rFonts w:ascii="Calibri" w:hAnsi="Calibri"/>
      <w:szCs w:val="24"/>
    </w:rPr>
  </w:style>
  <w:style w:type="paragraph" w:styleId="14">
    <w:name w:val="footer"/>
    <w:basedOn w:val="1"/>
    <w:qFormat/>
    <w:uiPriority w:val="0"/>
    <w:pPr>
      <w:tabs>
        <w:tab w:val="center" w:pos="4153"/>
        <w:tab w:val="right" w:pos="8306"/>
      </w:tabs>
      <w:snapToGrid w:val="0"/>
      <w:jc w:val="left"/>
    </w:pPr>
    <w:rPr>
      <w:sz w:val="18"/>
    </w:rPr>
  </w:style>
  <w:style w:type="paragraph" w:styleId="15">
    <w:name w:val="Normal (Web)"/>
    <w:basedOn w:val="1"/>
    <w:qFormat/>
    <w:uiPriority w:val="99"/>
    <w:pPr>
      <w:spacing w:beforeAutospacing="1" w:afterAutospacing="1"/>
      <w:jc w:val="left"/>
    </w:pPr>
    <w:rPr>
      <w:kern w:val="0"/>
      <w:sz w:val="24"/>
    </w:rPr>
  </w:style>
  <w:style w:type="paragraph" w:styleId="16">
    <w:name w:val="Body Text First Indent"/>
    <w:basedOn w:val="9"/>
    <w:next w:val="17"/>
    <w:qFormat/>
    <w:uiPriority w:val="0"/>
    <w:pPr>
      <w:ind w:firstLine="420" w:firstLineChars="100"/>
    </w:pPr>
  </w:style>
  <w:style w:type="paragraph" w:styleId="17">
    <w:name w:val="Body Text First Indent 2"/>
    <w:basedOn w:val="11"/>
    <w:next w:val="1"/>
    <w:qFormat/>
    <w:uiPriority w:val="0"/>
    <w:pPr>
      <w:widowControl/>
      <w:ind w:firstLine="420" w:firstLineChars="200"/>
      <w:jc w:val="left"/>
    </w:pPr>
    <w:rPr>
      <w:rFonts w:ascii="Calibri" w:hAnsi="Calibri"/>
      <w:kern w:val="0"/>
      <w:sz w:val="24"/>
      <w:lang w:eastAsia="en-US" w:bidi="en-US"/>
    </w:rPr>
  </w:style>
  <w:style w:type="character" w:styleId="20">
    <w:name w:val="Strong"/>
    <w:basedOn w:val="19"/>
    <w:qFormat/>
    <w:uiPriority w:val="0"/>
    <w:rPr>
      <w:rFonts w:ascii="微软雅黑" w:hAnsi="微软雅黑" w:eastAsia="微软雅黑" w:cs="微软雅黑"/>
      <w:b/>
    </w:rPr>
  </w:style>
  <w:style w:type="character" w:styleId="21">
    <w:name w:val="FollowedHyperlink"/>
    <w:basedOn w:val="19"/>
    <w:qFormat/>
    <w:uiPriority w:val="0"/>
    <w:rPr>
      <w:color w:val="000000"/>
      <w:u w:val="none"/>
    </w:rPr>
  </w:style>
  <w:style w:type="character" w:styleId="22">
    <w:name w:val="Emphasis"/>
    <w:basedOn w:val="19"/>
    <w:qFormat/>
    <w:uiPriority w:val="0"/>
    <w:rPr>
      <w:rFonts w:hint="eastAsia" w:ascii="微软雅黑" w:hAnsi="微软雅黑" w:eastAsia="微软雅黑" w:cs="微软雅黑"/>
      <w:i/>
    </w:rPr>
  </w:style>
  <w:style w:type="character" w:styleId="23">
    <w:name w:val="Hyperlink"/>
    <w:basedOn w:val="19"/>
    <w:qFormat/>
    <w:uiPriority w:val="0"/>
    <w:rPr>
      <w:color w:val="000000"/>
      <w:u w:val="none"/>
    </w:rPr>
  </w:style>
  <w:style w:type="paragraph" w:customStyle="1" w:styleId="24">
    <w:name w:val="BodyText1I"/>
    <w:basedOn w:val="25"/>
    <w:next w:val="26"/>
    <w:qFormat/>
    <w:uiPriority w:val="0"/>
    <w:pPr>
      <w:spacing w:after="120"/>
      <w:ind w:firstLine="420" w:firstLineChars="100"/>
      <w:jc w:val="both"/>
      <w:textAlignment w:val="baseline"/>
    </w:pPr>
  </w:style>
  <w:style w:type="paragraph" w:customStyle="1" w:styleId="25">
    <w:name w:val="BodyText"/>
    <w:basedOn w:val="1"/>
    <w:qFormat/>
    <w:uiPriority w:val="0"/>
    <w:pPr>
      <w:spacing w:after="120"/>
      <w:jc w:val="both"/>
      <w:textAlignment w:val="baseline"/>
    </w:pPr>
    <w:rPr>
      <w:rFonts w:ascii="等线" w:hAnsi="等线" w:eastAsia="等线"/>
      <w:kern w:val="2"/>
      <w:sz w:val="21"/>
      <w:szCs w:val="24"/>
      <w:lang w:val="en-US" w:eastAsia="zh-CN" w:bidi="ar-SA"/>
    </w:rPr>
  </w:style>
  <w:style w:type="paragraph" w:customStyle="1" w:styleId="26">
    <w:name w:val="BodyText1I2"/>
    <w:basedOn w:val="27"/>
    <w:qFormat/>
    <w:uiPriority w:val="0"/>
    <w:pPr>
      <w:widowControl/>
      <w:spacing w:after="120"/>
      <w:ind w:left="420" w:leftChars="200" w:firstLine="420" w:firstLineChars="200"/>
      <w:jc w:val="left"/>
      <w:textAlignment w:val="baseline"/>
    </w:pPr>
    <w:rPr>
      <w:rFonts w:ascii="Calibri" w:hAnsi="Calibri" w:eastAsia="宋体"/>
      <w:kern w:val="0"/>
      <w:sz w:val="24"/>
      <w:szCs w:val="24"/>
      <w:lang w:val="en-US" w:eastAsia="en-US" w:bidi="en-US"/>
    </w:rPr>
  </w:style>
  <w:style w:type="paragraph" w:customStyle="1" w:styleId="27">
    <w:name w:val="BodyTextIndent"/>
    <w:basedOn w:val="1"/>
    <w:qFormat/>
    <w:uiPriority w:val="0"/>
    <w:pPr>
      <w:spacing w:after="120"/>
      <w:ind w:left="420" w:leftChars="200"/>
      <w:jc w:val="both"/>
      <w:textAlignment w:val="baseline"/>
    </w:pPr>
    <w:rPr>
      <w:rFonts w:ascii="Times New Roman" w:hAnsi="Times New Roman" w:eastAsia="宋体"/>
      <w:kern w:val="2"/>
      <w:sz w:val="21"/>
      <w:szCs w:val="24"/>
      <w:lang w:val="en-US" w:eastAsia="zh-CN" w:bidi="ar-SA"/>
    </w:rPr>
  </w:style>
  <w:style w:type="paragraph" w:customStyle="1" w:styleId="28">
    <w:name w:val="正文2"/>
    <w:qFormat/>
    <w:uiPriority w:val="0"/>
    <w:pPr>
      <w:jc w:val="both"/>
    </w:pPr>
    <w:rPr>
      <w:rFonts w:ascii="Calibri" w:hAnsi="Calibri" w:eastAsia="宋体" w:cs="宋体"/>
      <w:kern w:val="2"/>
      <w:sz w:val="21"/>
      <w:szCs w:val="21"/>
      <w:lang w:val="en-US" w:eastAsia="zh-CN" w:bidi="ar-SA"/>
    </w:rPr>
  </w:style>
  <w:style w:type="character" w:customStyle="1" w:styleId="29">
    <w:name w:val="NormalCharacter"/>
    <w:qFormat/>
    <w:uiPriority w:val="0"/>
    <w:rPr>
      <w:rFonts w:ascii="Times New Roman" w:hAnsi="Times New Roman" w:eastAsia="仿宋_GB2312" w:cs="Times New Roman"/>
      <w:kern w:val="2"/>
      <w:sz w:val="32"/>
      <w:szCs w:val="21"/>
      <w:lang w:val="en-US" w:eastAsia="zh-CN" w:bidi="ar-SA"/>
    </w:rPr>
  </w:style>
  <w:style w:type="paragraph" w:customStyle="1" w:styleId="30">
    <w:name w:val="Normal_d4b89613-4165-4f1c-b78e-d3130d464ffc"/>
    <w:qFormat/>
    <w:uiPriority w:val="0"/>
    <w:pPr>
      <w:jc w:val="both"/>
    </w:pPr>
    <w:rPr>
      <w:rFonts w:ascii="Times New Roman" w:hAnsi="Times New Roman" w:eastAsia="宋体" w:cs="Times New Roman"/>
      <w:kern w:val="2"/>
      <w:sz w:val="21"/>
      <w:szCs w:val="21"/>
      <w:lang w:val="en-US" w:eastAsia="zh-CN" w:bidi="ar-SA"/>
    </w:rPr>
  </w:style>
  <w:style w:type="paragraph" w:styleId="31">
    <w:name w:val="List Paragraph"/>
    <w:basedOn w:val="1"/>
    <w:qFormat/>
    <w:uiPriority w:val="34"/>
    <w:pPr>
      <w:ind w:firstLine="420" w:firstLineChars="200"/>
    </w:pPr>
  </w:style>
  <w:style w:type="character" w:customStyle="1" w:styleId="32">
    <w:name w:val="bsharetext"/>
    <w:basedOn w:val="19"/>
    <w:qFormat/>
    <w:uiPriority w:val="0"/>
  </w:style>
  <w:style w:type="character" w:customStyle="1" w:styleId="33">
    <w:name w:val="spw5"/>
    <w:basedOn w:val="19"/>
    <w:qFormat/>
    <w:uiPriority w:val="0"/>
    <w:rPr>
      <w:color w:val="C8C8C6"/>
    </w:rPr>
  </w:style>
  <w:style w:type="character" w:customStyle="1" w:styleId="34">
    <w:name w:val="fl"/>
    <w:basedOn w:val="19"/>
    <w:qFormat/>
    <w:uiPriority w:val="0"/>
    <w:rPr>
      <w:color w:val="3E3A39"/>
    </w:rPr>
  </w:style>
  <w:style w:type="character" w:customStyle="1" w:styleId="35">
    <w:name w:val="fl1"/>
    <w:basedOn w:val="19"/>
    <w:qFormat/>
    <w:uiPriority w:val="0"/>
    <w:rPr>
      <w:color w:val="006934"/>
    </w:rPr>
  </w:style>
  <w:style w:type="character" w:customStyle="1" w:styleId="36">
    <w:name w:val="fl2"/>
    <w:basedOn w:val="19"/>
    <w:qFormat/>
    <w:uiPriority w:val="0"/>
  </w:style>
  <w:style w:type="character" w:customStyle="1" w:styleId="37">
    <w:name w:val="fl3"/>
    <w:basedOn w:val="19"/>
    <w:qFormat/>
    <w:uiPriority w:val="0"/>
  </w:style>
  <w:style w:type="character" w:customStyle="1" w:styleId="38">
    <w:name w:val="标题 2 Char1"/>
    <w:link w:val="4"/>
    <w:qFormat/>
    <w:uiPriority w:val="0"/>
    <w:rPr>
      <w:rFonts w:ascii="Arial" w:hAnsi="Arial" w:eastAsia="黑体"/>
      <w:b/>
      <w:bCs/>
      <w:sz w:val="32"/>
      <w:szCs w:val="32"/>
    </w:rPr>
  </w:style>
  <w:style w:type="character" w:customStyle="1" w:styleId="39">
    <w:name w:val="标题 3 Char"/>
    <w:link w:val="5"/>
    <w:qFormat/>
    <w:uiPriority w:val="9"/>
    <w:rPr>
      <w:rFonts w:eastAsia="楷体_GB2312"/>
      <w:b/>
      <w:bCs/>
      <w:sz w:val="32"/>
      <w:szCs w:val="32"/>
    </w:rPr>
  </w:style>
  <w:style w:type="character" w:customStyle="1" w:styleId="40">
    <w:name w:val="UserStyle_7"/>
    <w:qFormat/>
    <w:uiPriority w:val="0"/>
    <w:rPr>
      <w:rFonts w:ascii="Calibri" w:hAnsi="Calibri"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8265</Words>
  <Characters>8698</Characters>
  <Paragraphs>59</Paragraphs>
  <TotalTime>8</TotalTime>
  <ScaleCrop>false</ScaleCrop>
  <LinksUpToDate>false</LinksUpToDate>
  <CharactersWithSpaces>8701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2020-12-15T07:55:00Z</dcterms:created>
  <dc:creator>Administrator</dc:creator>
  <cp:lastModifiedBy>ty</cp:lastModifiedBy>
  <cp:lastPrinted>2022-01-03T10:22:00Z</cp:lastPrinted>
  <dcterms:modified xsi:type="dcterms:W3CDTF">2024-07-03T01:50:19Z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9473F6F9F9C742F8873D8722E662EE54</vt:lpwstr>
  </property>
</Properties>
</file>